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b w:val="1"/>
          <w:bCs w:val="1"/>
          <w:sz w:val="41"/>
          <w:szCs w:val="41"/>
        </w:rPr>
      </w:pPr>
      <w:r w:rsidDel="00000000" w:rsidR="00000000" w:rsidRPr="00000000">
        <w:rPr>
          <w:rFonts w:ascii="Calibri" w:cs="Calibri" w:eastAsia="Calibri" w:hAnsi="Calibri"/>
          <w:b w:val="1"/>
          <w:bCs w:val="1"/>
          <w:sz w:val="41"/>
          <w:szCs w:val="41"/>
          <w:rtl w:val="0"/>
        </w:rPr>
        <w:t xml:space="preserve">Mitigating Predictive Bias in Formula 1 Pit Stop Data Using Disaggregated Machine Learning Models</w:t>
      </w:r>
    </w:p>
    <w:p w:rsidR="00000000" w:rsidDel="00000000" w:rsidP="00000000" w:rsidRDefault="00000000" w:rsidRPr="00000000" w14:paraId="00000002">
      <w:pPr>
        <w:rPr>
          <w:b w:val="1"/>
          <w:bCs w:val="1"/>
          <w:sz w:val="29"/>
          <w:szCs w:val="29"/>
        </w:rPr>
      </w:pPr>
      <w:r w:rsidDel="00000000" w:rsidR="00000000" w:rsidRPr="00000000">
        <w:rPr>
          <w:rtl w:val="0"/>
        </w:rPr>
      </w:r>
    </w:p>
    <w:p w:rsidR="00000000" w:rsidDel="00000000" w:rsidP="00000000" w:rsidRDefault="00000000" w:rsidRPr="00000000" w14:paraId="00000003">
      <w:pPr>
        <w:rPr>
          <w:b w:val="1"/>
          <w:bCs w:val="1"/>
          <w:sz w:val="29"/>
          <w:szCs w:val="29"/>
        </w:rPr>
      </w:pPr>
      <w:r w:rsidDel="00000000" w:rsidR="00000000" w:rsidRPr="00000000">
        <w:rPr>
          <w:b w:val="1"/>
          <w:bCs w:val="1"/>
          <w:sz w:val="29"/>
          <w:szCs w:val="29"/>
          <w:rtl w:val="0"/>
        </w:rPr>
        <w:t xml:space="preserve">Report By: Neha Gurnani, Participant A, Iman Ibrahim, Salma Ahmed, Momena Amin</w:t>
      </w:r>
    </w:p>
    <w:p w:rsidR="00000000" w:rsidDel="00000000" w:rsidP="00000000" w:rsidRDefault="00000000" w:rsidRPr="00000000" w14:paraId="00000004">
      <w:pPr>
        <w:rPr>
          <w:b w:val="1"/>
          <w:bCs w:val="1"/>
          <w:sz w:val="29"/>
          <w:szCs w:val="29"/>
        </w:rPr>
      </w:pPr>
      <w:r w:rsidDel="00000000" w:rsidR="00000000" w:rsidRPr="00000000">
        <w:rPr>
          <w:b w:val="1"/>
          <w:bCs w:val="1"/>
          <w:sz w:val="29"/>
          <w:szCs w:val="29"/>
          <w:rtl w:val="0"/>
        </w:rPr>
        <w:t xml:space="preserve">Conducted as part of Femetronics</w:t>
      </w:r>
    </w:p>
    <w:p w:rsidR="00000000" w:rsidDel="00000000" w:rsidP="00000000" w:rsidRDefault="00000000" w:rsidRPr="00000000" w14:paraId="00000005">
      <w:pPr>
        <w:rPr>
          <w:b w:val="1"/>
          <w:bCs w:val="1"/>
          <w:color w:val="434343"/>
          <w:sz w:val="29"/>
          <w:szCs w:val="29"/>
        </w:rPr>
      </w:pPr>
      <w:r w:rsidDel="00000000" w:rsidR="00000000" w:rsidRPr="00000000">
        <w:rPr>
          <w:b w:val="1"/>
          <w:bCs w:val="1"/>
          <w:color w:val="434343"/>
          <w:sz w:val="29"/>
          <w:szCs w:val="29"/>
          <w:rtl w:val="0"/>
        </w:rPr>
        <w:t xml:space="preserve">Date: 23/12/2025</w:t>
      </w:r>
    </w:p>
    <w:p w:rsidR="00000000" w:rsidDel="00000000" w:rsidP="00000000" w:rsidRDefault="00000000" w:rsidRPr="00000000" w14:paraId="00000006">
      <w:pPr>
        <w:rPr>
          <w:color w:val="000000"/>
          <w:sz w:val="20"/>
          <w:szCs w:val="20"/>
        </w:rPr>
      </w:pPr>
      <w:r w:rsidDel="00000000" w:rsidR="00000000" w:rsidRPr="00000000">
        <w:rPr>
          <w:rtl w:val="0"/>
        </w:rPr>
      </w:r>
    </w:p>
    <w:p w:rsidR="00000000" w:rsidDel="00000000" w:rsidP="00000000" w:rsidRDefault="00000000" w:rsidRPr="00000000" w14:paraId="00000007">
      <w:pPr>
        <w:rPr>
          <w:b w:val="1"/>
          <w:bCs w:val="1"/>
          <w:color w:val="000000"/>
          <w:sz w:val="30"/>
          <w:szCs w:val="30"/>
          <w:u w:val="single"/>
        </w:rPr>
      </w:pPr>
      <w:r w:rsidDel="00000000" w:rsidR="00000000" w:rsidRPr="00000000">
        <w:rPr>
          <w:b w:val="1"/>
          <w:bCs w:val="1"/>
          <w:color w:val="000000"/>
          <w:sz w:val="30"/>
          <w:szCs w:val="30"/>
          <w:u w:val="single"/>
          <w:rtl w:val="0"/>
        </w:rPr>
        <w:t xml:space="preserve">Abstract</w:t>
      </w:r>
    </w:p>
    <w:p w:rsidR="00000000" w:rsidDel="00000000" w:rsidP="00000000" w:rsidRDefault="00000000" w:rsidRPr="00000000" w14:paraId="00000008">
      <w:pPr>
        <w:rPr>
          <w:color w:val="000000"/>
          <w:sz w:val="6"/>
          <w:szCs w:val="6"/>
        </w:rPr>
      </w:pPr>
      <w:r w:rsidDel="00000000" w:rsidR="00000000" w:rsidRPr="00000000">
        <w:rPr>
          <w:rtl w:val="0"/>
        </w:rPr>
      </w:r>
    </w:p>
    <w:p w:rsidR="00000000" w:rsidDel="00000000" w:rsidP="00000000" w:rsidRDefault="00000000" w:rsidRPr="00000000" w14:paraId="00000009">
      <w:pPr>
        <w:rPr>
          <w:color w:val="000000"/>
          <w:sz w:val="22"/>
          <w:szCs w:val="22"/>
        </w:rPr>
      </w:pPr>
      <w:r w:rsidDel="00000000" w:rsidR="00000000" w:rsidRPr="00000000">
        <w:rPr>
          <w:color w:val="000000"/>
          <w:sz w:val="22"/>
          <w:szCs w:val="22"/>
          <w:rtl w:val="0"/>
        </w:rPr>
        <w:t xml:space="preserve">Machine learning models trained on uneven real-world datasets are vulnerable to systematic predictive bias. In Formula 1, top-tier constructor teams generate cleaner and more consistent pit stop data due to greater resources, while other-tier teams produce noisier observations. Training a single unified Decision Tree Regressor on this imbalanced data resulted in biased performance, with consistently higher Mean Absolute Error (MAE) for other-tier teams across all implementations. To mitigate this effect, a disaggregation-based fairness intervention was applied across three independently implemented projects, in which datasets were split by constructor tier and specialised Decision Tree models were trained separately. This approach reduced MAE disparities from initial differences of up to 0.00305 seconds to as low as 0.00024 seconds, corresponding to bias reductions of up to 92.17%. These findings demonstrate that disaggregated, specialised models substantially improve predictive parity, enhancing the fairness, reliability, and ethical validity of pit stop time predictions across Formula 1 teams.</w:t>
      </w:r>
    </w:p>
    <w:p w:rsidR="00000000" w:rsidDel="00000000" w:rsidP="00000000" w:rsidRDefault="00000000" w:rsidRPr="00000000" w14:paraId="0000000A">
      <w:pPr>
        <w:rPr>
          <w:sz w:val="26"/>
          <w:szCs w:val="26"/>
        </w:rPr>
      </w:pPr>
      <w:r w:rsidDel="00000000" w:rsidR="00000000" w:rsidRPr="00000000">
        <w:rPr>
          <w:rtl w:val="0"/>
        </w:rPr>
      </w:r>
    </w:p>
    <w:p w:rsidR="00000000" w:rsidDel="00000000" w:rsidP="00000000" w:rsidRDefault="00000000" w:rsidRPr="00000000" w14:paraId="0000000B">
      <w:pPr>
        <w:rPr>
          <w:b w:val="1"/>
          <w:bCs w:val="1"/>
          <w:color w:val="000000"/>
          <w:sz w:val="30"/>
          <w:szCs w:val="30"/>
          <w:u w:val="single"/>
        </w:rPr>
      </w:pPr>
      <w:r w:rsidDel="00000000" w:rsidR="00000000" w:rsidRPr="00000000">
        <w:rPr>
          <w:b w:val="1"/>
          <w:bCs w:val="1"/>
          <w:color w:val="000000"/>
          <w:sz w:val="30"/>
          <w:szCs w:val="30"/>
          <w:u w:val="single"/>
          <w:rtl w:val="0"/>
        </w:rPr>
        <w:t xml:space="preserve">1 Introduction</w:t>
      </w:r>
    </w:p>
    <w:p w:rsidR="00000000" w:rsidDel="00000000" w:rsidP="00000000" w:rsidRDefault="00000000" w:rsidRPr="00000000" w14:paraId="0000000C">
      <w:pPr>
        <w:rPr>
          <w:sz w:val="8"/>
          <w:szCs w:val="8"/>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sz w:val="22"/>
          <w:szCs w:val="22"/>
          <w:rtl w:val="0"/>
        </w:rPr>
        <w:t xml:space="preserve">Research has highlighted substantial financial disparities between top Formula 1 constructor teams and lower-resourced teams, with budget differences exceeding £150 million prior to the 2021 cost cap¹. Although the cap was introduced to reduce competitive imbalance and has increased to approximately £161 million for the 2026 season, inequalities persist due to expenditures and resources outside its scope. These disparities affect infrastructure, personnel, and operational efficiency, and consequently influence on-track performance and data quality.</w:t>
      </w:r>
    </w:p>
    <w:p w:rsidR="00000000" w:rsidDel="00000000" w:rsidP="00000000" w:rsidRDefault="00000000" w:rsidRPr="00000000" w14:paraId="0000000E">
      <w:pPr>
        <w:rPr>
          <w:sz w:val="22"/>
          <w:szCs w:val="22"/>
        </w:rPr>
      </w:pPr>
      <w:r w:rsidDel="00000000" w:rsidR="00000000" w:rsidRPr="00000000">
        <w:rPr>
          <w:rtl w:val="0"/>
        </w:rPr>
      </w:r>
    </w:p>
    <w:p w:rsidR="00000000" w:rsidDel="00000000" w:rsidP="00000000" w:rsidRDefault="00000000" w:rsidRPr="00000000" w14:paraId="0000000F">
      <w:pPr>
        <w:rPr>
          <w:sz w:val="22"/>
          <w:szCs w:val="22"/>
        </w:rPr>
      </w:pPr>
      <w:r w:rsidDel="00000000" w:rsidR="00000000" w:rsidRPr="00000000">
        <w:rPr>
          <w:sz w:val="22"/>
          <w:szCs w:val="22"/>
          <w:rtl w:val="0"/>
        </w:rPr>
        <w:t xml:space="preserve">Top-tier teams typically generate cleaner and more consistent pit stop data, while lower-tier teams produce noisier observations. When a single unified model is trained on this uneven dataset, it may prioritise higher-quality data patterns, leading to biased predictions that disadvantage lower-resourced teams. Using Mean Absolute Error (MAE) as a fairness metric², this study hypothesises that disaggregation through specialised models will significantly reduce the MAE differential between top-tier and lower-tier Formula 1 teams compared to a unified approach.</w:t>
      </w:r>
    </w:p>
    <w:p w:rsidR="00000000" w:rsidDel="00000000" w:rsidP="00000000" w:rsidRDefault="00000000" w:rsidRPr="00000000" w14:paraId="00000010">
      <w:pPr>
        <w:rPr>
          <w:sz w:val="22"/>
          <w:szCs w:val="22"/>
          <w:u w:val="single"/>
        </w:rPr>
      </w:pPr>
      <w:r w:rsidDel="00000000" w:rsidR="00000000" w:rsidRPr="00000000">
        <w:rPr>
          <w:rtl w:val="0"/>
        </w:rPr>
      </w:r>
    </w:p>
    <w:p w:rsidR="00000000" w:rsidDel="00000000" w:rsidP="00000000" w:rsidRDefault="00000000" w:rsidRPr="00000000" w14:paraId="00000011">
      <w:pPr>
        <w:rPr>
          <w:b w:val="1"/>
          <w:bCs w:val="1"/>
          <w:sz w:val="32"/>
          <w:szCs w:val="32"/>
          <w:u w:val="single"/>
        </w:rPr>
      </w:pPr>
      <w:r w:rsidDel="00000000" w:rsidR="00000000" w:rsidRPr="00000000">
        <w:rPr>
          <w:b w:val="1"/>
          <w:bCs w:val="1"/>
          <w:sz w:val="32"/>
          <w:szCs w:val="32"/>
          <w:u w:val="single"/>
          <w:rtl w:val="0"/>
        </w:rPr>
        <w:t xml:space="preserve">2 Background</w:t>
      </w:r>
    </w:p>
    <w:p w:rsidR="00000000" w:rsidDel="00000000" w:rsidP="00000000" w:rsidRDefault="00000000" w:rsidRPr="00000000" w14:paraId="00000012">
      <w:pPr>
        <w:rPr>
          <w:b w:val="1"/>
          <w:bCs w:val="1"/>
          <w:sz w:val="22"/>
          <w:szCs w:val="22"/>
        </w:rPr>
      </w:pPr>
      <w:r w:rsidDel="00000000" w:rsidR="00000000" w:rsidRPr="00000000">
        <w:rPr>
          <w:rtl w:val="0"/>
        </w:rPr>
      </w:r>
    </w:p>
    <w:p w:rsidR="00000000" w:rsidDel="00000000" w:rsidP="00000000" w:rsidRDefault="00000000" w:rsidRPr="00000000" w14:paraId="00000013">
      <w:pPr>
        <w:rPr>
          <w:b w:val="1"/>
          <w:bCs w:val="1"/>
          <w:sz w:val="26"/>
          <w:szCs w:val="26"/>
        </w:rPr>
      </w:pPr>
      <w:r w:rsidDel="00000000" w:rsidR="00000000" w:rsidRPr="00000000">
        <w:rPr>
          <w:b w:val="1"/>
          <w:bCs w:val="1"/>
          <w:sz w:val="26"/>
          <w:szCs w:val="26"/>
          <w:rtl w:val="0"/>
        </w:rPr>
        <w:t xml:space="preserve">2.1 Mean Absolute Error (MAE)</w:t>
      </w:r>
    </w:p>
    <w:p w:rsidR="00000000" w:rsidDel="00000000" w:rsidP="00000000" w:rsidRDefault="00000000" w:rsidRPr="00000000" w14:paraId="00000014">
      <w:pPr>
        <w:rPr>
          <w:b w:val="1"/>
          <w:bCs w:val="1"/>
          <w:sz w:val="6"/>
          <w:szCs w:val="6"/>
        </w:rPr>
      </w:pP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sz w:val="22"/>
          <w:szCs w:val="22"/>
          <w:rtl w:val="0"/>
        </w:rPr>
        <w:t xml:space="preserve">Mean Absolute Error (MAE) measures regression accuracy by averaging the absolute difference between true and predicted </w:t>
      </w:r>
      <w:r w:rsidDel="00000000" w:rsidR="00000000" w:rsidRPr="00000000">
        <w:rPr>
          <w:sz w:val="22"/>
          <w:szCs w:val="22"/>
          <w:rtl w:val="0"/>
        </w:rPr>
        <w:t xml:space="preserve">values</w:t>
      </w:r>
      <w:r w:rsidDel="00000000" w:rsidR="00000000" w:rsidRPr="00000000">
        <w:rPr>
          <w:sz w:val="22"/>
          <w:szCs w:val="22"/>
          <w:vertAlign w:val="superscript"/>
          <w:rtl w:val="0"/>
        </w:rPr>
        <w:t xml:space="preserve">4</w:t>
      </w:r>
      <w:r w:rsidDel="00000000" w:rsidR="00000000" w:rsidRPr="00000000">
        <w:rPr>
          <w:sz w:val="22"/>
          <w:szCs w:val="22"/>
          <w:rtl w:val="0"/>
        </w:rPr>
        <w:t xml:space="preserve">:</w:t>
      </w:r>
    </w:p>
    <w:p w:rsidR="00000000" w:rsidDel="00000000" w:rsidP="00000000" w:rsidRDefault="00000000" w:rsidRPr="00000000" w14:paraId="00000016">
      <w:pPr>
        <w:rPr>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b w:val="1"/>
          <w:bCs w:val="1"/>
          <w:sz w:val="22"/>
          <w:szCs w:val="22"/>
          <w:rtl w:val="0"/>
        </w:rPr>
        <w:tab/>
        <w:tab/>
        <w:tab/>
        <w:t xml:space="preserve">            </w:t>
      </w:r>
      <m:oMath>
        <m:r>
          <w:rPr>
            <w:rFonts w:ascii="Cambria Math" w:cs="Cambria Math" w:eastAsia="Cambria Math" w:hAnsi="Cambria Math"/>
            <w:sz w:val="22"/>
            <w:szCs w:val="22"/>
          </w:rPr>
          <m:t xml:space="preserve">MAE= </m:t>
        </m:r>
        <m:f>
          <m:fPr>
            <m:ctrlPr>
              <w:rPr>
                <w:rFonts w:ascii="Cambria Math" w:cs="Cambria Math" w:eastAsia="Cambria Math" w:hAnsi="Cambria Math"/>
                <w:sz w:val="22"/>
                <w:szCs w:val="22"/>
              </w:rPr>
            </m:ctrlPr>
          </m:fPr>
          <m:num>
            <m:r>
              <w:rPr>
                <w:rFonts w:ascii="Cambria Math" w:cs="Cambria Math" w:eastAsia="Cambria Math" w:hAnsi="Cambria Math"/>
                <w:sz w:val="22"/>
                <w:szCs w:val="22"/>
              </w:rPr>
              <m:t xml:space="preserve">1</m:t>
            </m:r>
          </m:num>
          <m:den>
            <m:r>
              <w:rPr>
                <w:rFonts w:ascii="Cambria Math" w:cs="Cambria Math" w:eastAsia="Cambria Math" w:hAnsi="Cambria Math"/>
                <w:sz w:val="22"/>
                <w:szCs w:val="22"/>
              </w:rPr>
              <m:t xml:space="preserve">n</m:t>
            </m:r>
          </m:den>
        </m:f>
        <m:nary>
          <m:naryPr>
            <m:chr m:val="∑"/>
            <m:ctrlPr>
              <w:rPr>
                <w:rFonts w:ascii="Cambria Math" w:cs="Cambria Math" w:eastAsia="Cambria Math" w:hAnsi="Cambria Math"/>
                <w:sz w:val="22"/>
                <w:szCs w:val="22"/>
              </w:rPr>
            </m:ctrlPr>
          </m:naryPr>
          <m:sub>
            <m:r>
              <w:rPr>
                <w:rFonts w:ascii="Cambria Math" w:cs="Cambria Math" w:eastAsia="Cambria Math" w:hAnsi="Cambria Math"/>
                <w:sz w:val="22"/>
                <w:szCs w:val="22"/>
              </w:rPr>
              <m:t xml:space="preserve">i=1</m:t>
            </m:r>
          </m:sub>
          <m:sup>
            <m:r>
              <w:rPr>
                <w:rFonts w:ascii="Cambria Math" w:cs="Cambria Math" w:eastAsia="Cambria Math" w:hAnsi="Cambria Math"/>
                <w:sz w:val="22"/>
                <w:szCs w:val="22"/>
              </w:rPr>
              <m:t xml:space="preserve">n</m:t>
            </m:r>
          </m:sup>
        </m:nary>
        <m:r>
          <w:rPr>
            <w:rFonts w:ascii="Cambria Math" w:cs="Cambria Math" w:eastAsia="Cambria Math" w:hAnsi="Cambria Math"/>
            <w:sz w:val="22"/>
            <w:szCs w:val="22"/>
          </w:rPr>
          <m:t xml:space="preserve">∣</m:t>
        </m:r>
        <m:sSub>
          <m:sSubPr>
            <m:ctrlPr>
              <w:rPr>
                <w:rFonts w:ascii="Cambria Math" w:cs="Cambria Math" w:eastAsia="Cambria Math" w:hAnsi="Cambria Math"/>
                <w:sz w:val="22"/>
                <w:szCs w:val="22"/>
              </w:rPr>
            </m:ctrlPr>
          </m:sSubPr>
          <m:e>
            <m:r>
              <w:rPr>
                <w:rFonts w:ascii="Cambria Math" w:cs="Cambria Math" w:eastAsia="Cambria Math" w:hAnsi="Cambria Math"/>
                <w:sz w:val="22"/>
                <w:szCs w:val="22"/>
              </w:rPr>
              <m:t xml:space="preserve">y</m:t>
            </m:r>
          </m:e>
          <m:sub>
            <m:r>
              <w:rPr>
                <w:rFonts w:ascii="Cambria Math" w:cs="Cambria Math" w:eastAsia="Cambria Math" w:hAnsi="Cambria Math"/>
                <w:sz w:val="22"/>
                <w:szCs w:val="22"/>
              </w:rPr>
              <m:t xml:space="preserve">i</m:t>
            </m:r>
          </m:sub>
        </m:sSub>
        <m:r>
          <w:rPr>
            <w:rFonts w:ascii="Cambria Math" w:cs="Cambria Math" w:eastAsia="Cambria Math" w:hAnsi="Cambria Math"/>
            <w:sz w:val="22"/>
            <w:szCs w:val="22"/>
          </w:rPr>
          <m:t xml:space="preserve">- </m:t>
        </m:r>
        <m:sSub>
          <m:sSubPr>
            <m:ctrlPr>
              <w:rPr>
                <w:rFonts w:ascii="Cambria Math" w:cs="Cambria Math" w:eastAsia="Cambria Math" w:hAnsi="Cambria Math"/>
                <w:sz w:val="22"/>
                <w:szCs w:val="22"/>
              </w:rPr>
            </m:ctrlPr>
          </m:sSubPr>
          <m:e>
            <m:acc>
              <m:accPr>
                <m:chr m:val="̂"/>
                <m:ctrlPr>
                  <w:rPr>
                    <w:rFonts w:ascii="Cambria Math" w:cs="Cambria Math" w:eastAsia="Cambria Math" w:hAnsi="Cambria Math"/>
                    <w:sz w:val="22"/>
                    <w:szCs w:val="22"/>
                  </w:rPr>
                </m:ctrlPr>
              </m:accPr>
              <m:e>
                <m:r>
                  <w:rPr>
                    <w:rFonts w:ascii="Cambria Math" w:cs="Cambria Math" w:eastAsia="Cambria Math" w:hAnsi="Cambria Math"/>
                    <w:sz w:val="22"/>
                    <w:szCs w:val="22"/>
                  </w:rPr>
                  <m:t xml:space="preserve">y</m:t>
                </m:r>
              </m:e>
            </m:acc>
          </m:e>
          <m:sub>
            <m:r>
              <w:rPr>
                <w:rFonts w:ascii="Cambria Math" w:cs="Cambria Math" w:eastAsia="Cambria Math" w:hAnsi="Cambria Math"/>
                <w:sz w:val="22"/>
                <w:szCs w:val="22"/>
              </w:rPr>
              <m:t xml:space="preserve">i</m:t>
            </m:r>
          </m:sub>
        </m:sSub>
        <m:r>
          <w:rPr>
            <w:rFonts w:ascii="Cambria Math" w:cs="Cambria Math" w:eastAsia="Cambria Math" w:hAnsi="Cambria Math"/>
            <w:sz w:val="22"/>
            <w:szCs w:val="22"/>
          </w:rPr>
          <m:t xml:space="preserve">∣​</m:t>
        </m:r>
      </m:oMath>
      <w:r w:rsidDel="00000000" w:rsidR="00000000" w:rsidRPr="00000000">
        <w:rPr>
          <w:sz w:val="22"/>
          <w:szCs w:val="22"/>
          <w:rtl w:val="0"/>
        </w:rPr>
        <w:tab/>
        <w:t xml:space="preserve">​</w:t>
      </w:r>
    </w:p>
    <w:p w:rsidR="00000000" w:rsidDel="00000000" w:rsidP="00000000" w:rsidRDefault="00000000" w:rsidRPr="00000000" w14:paraId="00000018">
      <w:pPr>
        <w:rPr>
          <w:sz w:val="22"/>
          <w:szCs w:val="22"/>
        </w:rPr>
      </w:pPr>
      <w:r w:rsidDel="00000000" w:rsidR="00000000" w:rsidRPr="00000000">
        <w:rPr>
          <w:sz w:val="22"/>
          <w:szCs w:val="22"/>
          <w:rtl w:val="0"/>
        </w:rPr>
        <w:t xml:space="preserve">where </w:t>
      </w:r>
      <m:oMath>
        <m:r>
          <w:rPr>
            <w:rFonts w:ascii="Cambria Math" w:cs="Cambria Math" w:eastAsia="Cambria Math" w:hAnsi="Cambria Math"/>
            <w:sz w:val="22"/>
            <w:szCs w:val="22"/>
          </w:rPr>
          <m:t xml:space="preserve">n</m:t>
        </m:r>
      </m:oMath>
      <w:r w:rsidDel="00000000" w:rsidR="00000000" w:rsidRPr="00000000">
        <w:rPr>
          <w:sz w:val="22"/>
          <w:szCs w:val="22"/>
          <w:rtl w:val="0"/>
        </w:rPr>
        <w:t xml:space="preserve"> represents the number of observations, </w:t>
      </w:r>
      <m:oMath>
        <m:sSub>
          <m:sSubPr>
            <m:ctrlPr>
              <w:rPr>
                <w:rFonts w:ascii="Cambria Math" w:cs="Cambria Math" w:eastAsia="Cambria Math" w:hAnsi="Cambria Math"/>
                <w:sz w:val="22"/>
                <w:szCs w:val="22"/>
              </w:rPr>
            </m:ctrlPr>
          </m:sSubPr>
          <m:e>
            <m:r>
              <w:rPr>
                <w:rFonts w:ascii="Cambria Math" w:cs="Cambria Math" w:eastAsia="Cambria Math" w:hAnsi="Cambria Math"/>
                <w:sz w:val="22"/>
                <w:szCs w:val="22"/>
              </w:rPr>
              <m:t xml:space="preserve">y</m:t>
            </m:r>
          </m:e>
          <m:sub>
            <m:r>
              <w:rPr>
                <w:rFonts w:ascii="Cambria Math" w:cs="Cambria Math" w:eastAsia="Cambria Math" w:hAnsi="Cambria Math"/>
                <w:sz w:val="22"/>
                <w:szCs w:val="22"/>
              </w:rPr>
              <m:t xml:space="preserve">i</m:t>
            </m:r>
          </m:sub>
        </m:sSub>
      </m:oMath>
      <w:r w:rsidDel="00000000" w:rsidR="00000000" w:rsidRPr="00000000">
        <w:rPr>
          <w:sz w:val="22"/>
          <w:szCs w:val="22"/>
          <w:rtl w:val="0"/>
        </w:rPr>
        <w:t xml:space="preserve">​ denotes the true value, and </w:t>
      </w:r>
      <m:oMath>
        <m:sSub>
          <m:sSubPr>
            <m:ctrlPr>
              <w:rPr>
                <w:rFonts w:ascii="Cambria Math" w:cs="Cambria Math" w:eastAsia="Cambria Math" w:hAnsi="Cambria Math"/>
                <w:sz w:val="22"/>
                <w:szCs w:val="22"/>
              </w:rPr>
            </m:ctrlPr>
          </m:sSubPr>
          <m:e>
            <m:acc>
              <m:accPr>
                <m:chr m:val="̂"/>
                <m:ctrlPr>
                  <w:rPr>
                    <w:rFonts w:ascii="Cambria Math" w:cs="Cambria Math" w:eastAsia="Cambria Math" w:hAnsi="Cambria Math"/>
                    <w:sz w:val="22"/>
                    <w:szCs w:val="22"/>
                  </w:rPr>
                </m:ctrlPr>
              </m:accPr>
              <m:e>
                <m:r>
                  <w:rPr>
                    <w:rFonts w:ascii="Cambria Math" w:cs="Cambria Math" w:eastAsia="Cambria Math" w:hAnsi="Cambria Math"/>
                    <w:sz w:val="22"/>
                    <w:szCs w:val="22"/>
                  </w:rPr>
                  <m:t xml:space="preserve">y</m:t>
                </m:r>
              </m:e>
            </m:acc>
          </m:e>
          <m:sub>
            <m:r>
              <w:rPr>
                <w:rFonts w:ascii="Cambria Math" w:cs="Cambria Math" w:eastAsia="Cambria Math" w:hAnsi="Cambria Math"/>
                <w:sz w:val="22"/>
                <w:szCs w:val="22"/>
              </w:rPr>
              <m:t xml:space="preserve">i</m:t>
            </m:r>
          </m:sub>
        </m:sSub>
      </m:oMath>
      <w:r w:rsidDel="00000000" w:rsidR="00000000" w:rsidRPr="00000000">
        <w:rPr>
          <w:sz w:val="22"/>
          <w:szCs w:val="22"/>
          <w:rtl w:val="0"/>
        </w:rPr>
        <w:t xml:space="preserve"> represents the predicted value</w:t>
      </w:r>
      <w:r w:rsidDel="00000000" w:rsidR="00000000" w:rsidRPr="00000000">
        <w:rPr>
          <w:sz w:val="22"/>
          <w:szCs w:val="22"/>
          <w:vertAlign w:val="superscript"/>
          <w:rtl w:val="0"/>
        </w:rPr>
        <w:t xml:space="preserve">3</w:t>
      </w:r>
      <w:r w:rsidDel="00000000" w:rsidR="00000000" w:rsidRPr="00000000">
        <w:rPr>
          <w:sz w:val="22"/>
          <w:szCs w:val="22"/>
          <w:rtl w:val="0"/>
        </w:rPr>
        <w:t xml:space="preserve">. Absolute values prevent positive and negative residuals from cancelling, making MAE directly interpretable in the same units as the target variable (seconds)</w:t>
      </w:r>
      <w:r w:rsidDel="00000000" w:rsidR="00000000" w:rsidRPr="00000000">
        <w:rPr>
          <w:sz w:val="22"/>
          <w:szCs w:val="22"/>
          <w:vertAlign w:val="superscript"/>
          <w:rtl w:val="0"/>
        </w:rPr>
        <w:t xml:space="preserve">4</w:t>
      </w:r>
      <w:r w:rsidDel="00000000" w:rsidR="00000000" w:rsidRPr="00000000">
        <w:rPr>
          <w:sz w:val="22"/>
          <w:szCs w:val="22"/>
          <w:rtl w:val="0"/>
        </w:rPr>
        <w:t xml:space="preserve">. This is appropriate for pit stop and lap time </w:t>
      </w:r>
      <w:r w:rsidDel="00000000" w:rsidR="00000000" w:rsidRPr="00000000">
        <w:rPr>
          <w:sz w:val="22"/>
          <w:szCs w:val="22"/>
          <w:rtl w:val="0"/>
        </w:rPr>
        <w:t xml:space="preserve">variation</w:t>
      </w:r>
      <w:r w:rsidDel="00000000" w:rsidR="00000000" w:rsidRPr="00000000">
        <w:rPr>
          <w:sz w:val="22"/>
          <w:szCs w:val="22"/>
          <w:vertAlign w:val="superscript"/>
          <w:rtl w:val="0"/>
        </w:rPr>
        <w:t xml:space="preserve">7</w:t>
      </w:r>
      <w:r w:rsidDel="00000000" w:rsidR="00000000" w:rsidRPr="00000000">
        <w:rPr>
          <w:sz w:val="22"/>
          <w:szCs w:val="22"/>
          <w:rtl w:val="0"/>
        </w:rPr>
        <w:t xml:space="preserve">, where typical prediction errors should be summarised without allowing rare anomalies to dominate </w:t>
      </w:r>
      <w:r w:rsidDel="00000000" w:rsidR="00000000" w:rsidRPr="00000000">
        <w:rPr>
          <w:sz w:val="22"/>
          <w:szCs w:val="22"/>
          <w:rtl w:val="0"/>
        </w:rPr>
        <w:t xml:space="preserve">evaluation</w:t>
      </w:r>
      <w:r w:rsidDel="00000000" w:rsidR="00000000" w:rsidRPr="00000000">
        <w:rPr>
          <w:sz w:val="22"/>
          <w:szCs w:val="22"/>
          <w:vertAlign w:val="superscript"/>
          <w:rtl w:val="0"/>
        </w:rPr>
        <w:t xml:space="preserve">4</w:t>
      </w:r>
      <w:r w:rsidDel="00000000" w:rsidR="00000000" w:rsidRPr="00000000">
        <w:rPr>
          <w:sz w:val="22"/>
          <w:szCs w:val="22"/>
          <w:rtl w:val="0"/>
        </w:rPr>
        <w:t xml:space="preserve">. For fairness assessment, MAE can be computed per subgroup, and the absolute difference between group MAEs (accuracy parity gap) quantifies predictive disparity, with values closer to zero indicating stronger predictive </w:t>
      </w:r>
      <w:r w:rsidDel="00000000" w:rsidR="00000000" w:rsidRPr="00000000">
        <w:rPr>
          <w:sz w:val="22"/>
          <w:szCs w:val="22"/>
          <w:rtl w:val="0"/>
        </w:rPr>
        <w:t xml:space="preserve">parity</w:t>
      </w:r>
      <w:r w:rsidDel="00000000" w:rsidR="00000000" w:rsidRPr="00000000">
        <w:rPr>
          <w:sz w:val="22"/>
          <w:szCs w:val="22"/>
          <w:vertAlign w:val="superscript"/>
          <w:rtl w:val="0"/>
        </w:rPr>
        <w:t xml:space="preserve">5</w:t>
      </w:r>
      <w:r w:rsidDel="00000000" w:rsidR="00000000" w:rsidRPr="00000000">
        <w:rPr>
          <w:sz w:val="22"/>
          <w:szCs w:val="22"/>
          <w:rtl w:val="0"/>
        </w:rPr>
        <w:t xml:space="preserve">.</w:t>
      </w:r>
    </w:p>
    <w:p w:rsidR="00000000" w:rsidDel="00000000" w:rsidP="00000000" w:rsidRDefault="00000000" w:rsidRPr="00000000" w14:paraId="00000019">
      <w:pPr>
        <w:rPr>
          <w:b w:val="1"/>
          <w:bCs w:val="1"/>
          <w:sz w:val="22"/>
          <w:szCs w:val="22"/>
        </w:rPr>
      </w:pPr>
      <w:r w:rsidDel="00000000" w:rsidR="00000000" w:rsidRPr="00000000">
        <w:rPr>
          <w:rtl w:val="0"/>
        </w:rPr>
      </w:r>
    </w:p>
    <w:p w:rsidR="00000000" w:rsidDel="00000000" w:rsidP="00000000" w:rsidRDefault="00000000" w:rsidRPr="00000000" w14:paraId="0000001A">
      <w:pPr>
        <w:rPr>
          <w:b w:val="1"/>
          <w:bCs w:val="1"/>
          <w:sz w:val="26"/>
          <w:szCs w:val="26"/>
        </w:rPr>
      </w:pPr>
      <w:r w:rsidDel="00000000" w:rsidR="00000000" w:rsidRPr="00000000">
        <w:rPr>
          <w:b w:val="1"/>
          <w:bCs w:val="1"/>
          <w:sz w:val="26"/>
          <w:szCs w:val="26"/>
          <w:rtl w:val="0"/>
        </w:rPr>
        <w:t xml:space="preserve">2.2 Disaggregation and Fairness</w:t>
      </w:r>
    </w:p>
    <w:p w:rsidR="00000000" w:rsidDel="00000000" w:rsidP="00000000" w:rsidRDefault="00000000" w:rsidRPr="00000000" w14:paraId="0000001B">
      <w:pPr>
        <w:rPr>
          <w:sz w:val="8"/>
          <w:szCs w:val="8"/>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sz w:val="22"/>
          <w:szCs w:val="22"/>
          <w:rtl w:val="0"/>
        </w:rPr>
        <w:t xml:space="preserve">Disaggregation is a fairness-aware evaluation and mitigation approach that partitions data by a protected attribute to expose and reduce subgroup performance </w:t>
      </w:r>
      <w:r w:rsidDel="00000000" w:rsidR="00000000" w:rsidRPr="00000000">
        <w:rPr>
          <w:sz w:val="22"/>
          <w:szCs w:val="22"/>
          <w:rtl w:val="0"/>
        </w:rPr>
        <w:t xml:space="preserve">disparities</w:t>
      </w:r>
      <w:r w:rsidDel="00000000" w:rsidR="00000000" w:rsidRPr="00000000">
        <w:rPr>
          <w:sz w:val="22"/>
          <w:szCs w:val="22"/>
          <w:vertAlign w:val="superscript"/>
          <w:rtl w:val="0"/>
        </w:rPr>
        <w:t xml:space="preserve">5</w:t>
      </w:r>
      <w:r w:rsidDel="00000000" w:rsidR="00000000" w:rsidRPr="00000000">
        <w:rPr>
          <w:sz w:val="22"/>
          <w:szCs w:val="22"/>
          <w:vertAlign w:val="superscript"/>
          <w:rtl w:val="0"/>
        </w:rPr>
        <w:t xml:space="preserve"> 6</w:t>
      </w:r>
      <w:r w:rsidDel="00000000" w:rsidR="00000000" w:rsidRPr="00000000">
        <w:rPr>
          <w:sz w:val="22"/>
          <w:szCs w:val="22"/>
          <w:rtl w:val="0"/>
        </w:rPr>
        <w:t xml:space="preserve">. Here, the constructor tier (top-tier vs. lower-tier) is treated as the protected attribute. Barocas et al. show that strong aggregate performance can conceal severe subgroup underperformance, particularly when disadvantaged groups are </w:t>
      </w:r>
      <w:r w:rsidDel="00000000" w:rsidR="00000000" w:rsidRPr="00000000">
        <w:rPr>
          <w:sz w:val="22"/>
          <w:szCs w:val="22"/>
          <w:rtl w:val="0"/>
        </w:rPr>
        <w:t xml:space="preserve">underrepresented</w:t>
      </w:r>
      <w:r w:rsidDel="00000000" w:rsidR="00000000" w:rsidRPr="00000000">
        <w:rPr>
          <w:sz w:val="22"/>
          <w:szCs w:val="22"/>
          <w:vertAlign w:val="superscript"/>
          <w:rtl w:val="0"/>
        </w:rPr>
        <w:t xml:space="preserve">5</w:t>
      </w:r>
      <w:r w:rsidDel="00000000" w:rsidR="00000000" w:rsidRPr="00000000">
        <w:rPr>
          <w:sz w:val="22"/>
          <w:szCs w:val="22"/>
          <w:rtl w:val="0"/>
        </w:rPr>
        <w:t xml:space="preserve">.</w:t>
      </w:r>
    </w:p>
    <w:p w:rsidR="00000000" w:rsidDel="00000000" w:rsidP="00000000" w:rsidRDefault="00000000" w:rsidRPr="00000000" w14:paraId="0000001D">
      <w:pPr>
        <w:rPr>
          <w:sz w:val="22"/>
          <w:szCs w:val="22"/>
        </w:rPr>
      </w:pPr>
      <w:r w:rsidDel="00000000" w:rsidR="00000000" w:rsidRPr="00000000">
        <w:rPr>
          <w:rtl w:val="0"/>
        </w:rPr>
      </w:r>
    </w:p>
    <w:p w:rsidR="00000000" w:rsidDel="00000000" w:rsidP="00000000" w:rsidRDefault="00000000" w:rsidRPr="00000000" w14:paraId="0000001E">
      <w:pPr>
        <w:rPr>
          <w:sz w:val="22"/>
          <w:szCs w:val="22"/>
        </w:rPr>
      </w:pPr>
      <w:r w:rsidDel="00000000" w:rsidR="00000000" w:rsidRPr="00000000">
        <w:rPr>
          <w:sz w:val="22"/>
          <w:szCs w:val="22"/>
          <w:rtl w:val="0"/>
        </w:rPr>
        <w:t xml:space="preserve">Bynum et al. argue that disaggregated interventions can actively reduce inequality by tailoring modelling decisions to subgroup-specific </w:t>
      </w:r>
      <w:r w:rsidDel="00000000" w:rsidR="00000000" w:rsidRPr="00000000">
        <w:rPr>
          <w:sz w:val="22"/>
          <w:szCs w:val="22"/>
          <w:rtl w:val="0"/>
        </w:rPr>
        <w:t xml:space="preserve">behaviour</w:t>
      </w:r>
      <w:r w:rsidDel="00000000" w:rsidR="00000000" w:rsidRPr="00000000">
        <w:rPr>
          <w:sz w:val="22"/>
          <w:szCs w:val="22"/>
          <w:vertAlign w:val="superscript"/>
          <w:rtl w:val="0"/>
        </w:rPr>
        <w:t xml:space="preserve">5</w:t>
      </w:r>
      <w:r w:rsidDel="00000000" w:rsidR="00000000" w:rsidRPr="00000000">
        <w:rPr>
          <w:sz w:val="22"/>
          <w:szCs w:val="22"/>
          <w:rtl w:val="0"/>
        </w:rPr>
        <w:t xml:space="preserve">. In Formula 1, where data-driven models inform pit strategy and performance analysis, disaggregation helps ensure that predictive systems do not systematically disadvantage lower-resourced teams, improving reliability and ethical validity in motorsport </w:t>
      </w:r>
      <w:r w:rsidDel="00000000" w:rsidR="00000000" w:rsidRPr="00000000">
        <w:rPr>
          <w:sz w:val="22"/>
          <w:szCs w:val="22"/>
          <w:rtl w:val="0"/>
        </w:rPr>
        <w:t xml:space="preserve">analytics</w:t>
      </w:r>
      <w:r w:rsidDel="00000000" w:rsidR="00000000" w:rsidRPr="00000000">
        <w:rPr>
          <w:sz w:val="22"/>
          <w:szCs w:val="22"/>
          <w:vertAlign w:val="superscript"/>
          <w:rtl w:val="0"/>
        </w:rPr>
        <w:t xml:space="preserve">7</w:t>
      </w:r>
      <w:r w:rsidDel="00000000" w:rsidR="00000000" w:rsidRPr="00000000">
        <w:rPr>
          <w:sz w:val="22"/>
          <w:szCs w:val="22"/>
          <w:rtl w:val="0"/>
        </w:rPr>
        <w:t xml:space="preserve">.</w:t>
      </w:r>
    </w:p>
    <w:p w:rsidR="00000000" w:rsidDel="00000000" w:rsidP="00000000" w:rsidRDefault="00000000" w:rsidRPr="00000000" w14:paraId="0000001F">
      <w:pPr>
        <w:rPr>
          <w:sz w:val="30"/>
          <w:szCs w:val="30"/>
        </w:rPr>
      </w:pPr>
      <w:r w:rsidDel="00000000" w:rsidR="00000000" w:rsidRPr="00000000">
        <w:rPr>
          <w:rtl w:val="0"/>
        </w:rPr>
      </w:r>
    </w:p>
    <w:p w:rsidR="00000000" w:rsidDel="00000000" w:rsidP="00000000" w:rsidRDefault="00000000" w:rsidRPr="00000000" w14:paraId="00000020">
      <w:pPr>
        <w:rPr>
          <w:b w:val="1"/>
          <w:bCs w:val="1"/>
          <w:sz w:val="30"/>
          <w:szCs w:val="30"/>
          <w:u w:val="single"/>
        </w:rPr>
      </w:pPr>
      <w:r w:rsidDel="00000000" w:rsidR="00000000" w:rsidRPr="00000000">
        <w:rPr>
          <w:b w:val="1"/>
          <w:bCs w:val="1"/>
          <w:sz w:val="30"/>
          <w:szCs w:val="30"/>
          <w:u w:val="single"/>
          <w:rtl w:val="0"/>
        </w:rPr>
        <w:t xml:space="preserve">3 Implementation</w:t>
      </w:r>
    </w:p>
    <w:p w:rsidR="00000000" w:rsidDel="00000000" w:rsidP="00000000" w:rsidRDefault="00000000" w:rsidRPr="00000000" w14:paraId="00000021">
      <w:pPr>
        <w:rPr>
          <w:b w:val="1"/>
          <w:bCs w:val="1"/>
          <w:sz w:val="22"/>
          <w:szCs w:val="22"/>
        </w:rPr>
      </w:pPr>
      <w:r w:rsidDel="00000000" w:rsidR="00000000" w:rsidRPr="00000000">
        <w:rPr>
          <w:rtl w:val="0"/>
        </w:rPr>
      </w:r>
    </w:p>
    <w:p w:rsidR="00000000" w:rsidDel="00000000" w:rsidP="00000000" w:rsidRDefault="00000000" w:rsidRPr="00000000" w14:paraId="00000022">
      <w:pPr>
        <w:rPr>
          <w:b w:val="1"/>
          <w:bCs w:val="1"/>
          <w:sz w:val="26"/>
          <w:szCs w:val="26"/>
        </w:rPr>
      </w:pPr>
      <w:r w:rsidDel="00000000" w:rsidR="00000000" w:rsidRPr="00000000">
        <w:rPr>
          <w:b w:val="1"/>
          <w:bCs w:val="1"/>
          <w:sz w:val="26"/>
          <w:szCs w:val="26"/>
          <w:rtl w:val="0"/>
        </w:rPr>
        <w:t xml:space="preserve">3.1 Shared Implementation Approach</w:t>
      </w:r>
    </w:p>
    <w:p w:rsidR="00000000" w:rsidDel="00000000" w:rsidP="00000000" w:rsidRDefault="00000000" w:rsidRPr="00000000" w14:paraId="00000023">
      <w:pPr>
        <w:rPr>
          <w:b w:val="1"/>
          <w:bCs w:val="1"/>
          <w:sz w:val="6"/>
          <w:szCs w:val="6"/>
        </w:rPr>
      </w:pPr>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sz w:val="22"/>
          <w:szCs w:val="22"/>
          <w:rtl w:val="0"/>
        </w:rPr>
        <w:t xml:space="preserve">All three projects implemented a fairness-aware machine learning pipeline using a Decision Tree Regressor to predict Lap Time Variation from Formula 1 pit stop data spanning the 2018–2024 seasons. The shared objective was to identify and mitigate predictive bias arising from structural disparities between top-tier and lower-tier constructor teams. While minor implementation details varied, the overall modelling logic was consistent across projects.</w:t>
      </w:r>
    </w:p>
    <w:p w:rsidR="00000000" w:rsidDel="00000000" w:rsidP="00000000" w:rsidRDefault="00000000" w:rsidRPr="00000000" w14:paraId="00000025">
      <w:pPr>
        <w:rPr>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sz w:val="22"/>
          <w:szCs w:val="22"/>
          <w:rtl w:val="0"/>
        </w:rPr>
        <w:t xml:space="preserve">The pipeline involved data cleaning and preprocessing, followed by training a unified model as a diagnostic step to identify baseline predictive bias. A disaggregation-based mitigation strategy was then applied by training specialised models for each team tier. Constructor team tier was treated as the protected attribute and Mean Absolute Error (MAE) was used to evaluate predictive parity between groups. Project-specific variations are discussed in Section 3.4.</w:t>
      </w:r>
    </w:p>
    <w:p w:rsidR="00000000" w:rsidDel="00000000" w:rsidP="00000000" w:rsidRDefault="00000000" w:rsidRPr="00000000" w14:paraId="00000027">
      <w:pPr>
        <w:rPr>
          <w:sz w:val="26"/>
          <w:szCs w:val="26"/>
        </w:rPr>
      </w:pPr>
      <w:r w:rsidDel="00000000" w:rsidR="00000000" w:rsidRPr="00000000">
        <w:rPr>
          <w:rtl w:val="0"/>
        </w:rPr>
      </w:r>
    </w:p>
    <w:p w:rsidR="00000000" w:rsidDel="00000000" w:rsidP="00000000" w:rsidRDefault="00000000" w:rsidRPr="00000000" w14:paraId="00000028">
      <w:pPr>
        <w:rPr>
          <w:b w:val="1"/>
          <w:bCs w:val="1"/>
          <w:sz w:val="26"/>
          <w:szCs w:val="26"/>
        </w:rPr>
      </w:pPr>
      <w:r w:rsidDel="00000000" w:rsidR="00000000" w:rsidRPr="00000000">
        <w:rPr>
          <w:b w:val="1"/>
          <w:bCs w:val="1"/>
          <w:sz w:val="26"/>
          <w:szCs w:val="26"/>
          <w:rtl w:val="0"/>
        </w:rPr>
        <w:t xml:space="preserve">3.2 Data and Feature Engineering</w:t>
      </w:r>
    </w:p>
    <w:p w:rsidR="00000000" w:rsidDel="00000000" w:rsidP="00000000" w:rsidRDefault="00000000" w:rsidRPr="00000000" w14:paraId="00000029">
      <w:pPr>
        <w:rPr>
          <w:sz w:val="6"/>
          <w:szCs w:val="6"/>
        </w:rPr>
      </w:pPr>
      <w:r w:rsidDel="00000000" w:rsidR="00000000" w:rsidRPr="00000000">
        <w:rPr>
          <w:rtl w:val="0"/>
        </w:rPr>
      </w:r>
    </w:p>
    <w:p w:rsidR="00000000" w:rsidDel="00000000" w:rsidP="00000000" w:rsidRDefault="00000000" w:rsidRPr="00000000" w14:paraId="0000002A">
      <w:pPr>
        <w:rPr>
          <w:sz w:val="22"/>
          <w:szCs w:val="22"/>
        </w:rPr>
      </w:pPr>
      <w:r w:rsidDel="00000000" w:rsidR="00000000" w:rsidRPr="00000000">
        <w:rPr>
          <w:sz w:val="22"/>
          <w:szCs w:val="22"/>
          <w:rtl w:val="0"/>
        </w:rPr>
        <w:t xml:space="preserve">All projects used the same CSV dataset containing Formula 1 pit stop data. Rows with missing target values were removed during preprocessing to ensure reliable evaluation. The target variable, Lap Time Variation, was measured in seconds.</w:t>
      </w:r>
    </w:p>
    <w:p w:rsidR="00000000" w:rsidDel="00000000" w:rsidP="00000000" w:rsidRDefault="00000000" w:rsidRPr="00000000" w14:paraId="0000002B">
      <w:pPr>
        <w:rPr>
          <w:sz w:val="18"/>
          <w:szCs w:val="18"/>
        </w:rPr>
      </w:pPr>
      <w:r w:rsidDel="00000000" w:rsidR="00000000" w:rsidRPr="00000000">
        <w:rPr>
          <w:rtl w:val="0"/>
        </w:rPr>
      </w:r>
    </w:p>
    <w:p w:rsidR="00000000" w:rsidDel="00000000" w:rsidP="00000000" w:rsidRDefault="00000000" w:rsidRPr="00000000" w14:paraId="0000002C">
      <w:pPr>
        <w:rPr>
          <w:sz w:val="22"/>
          <w:szCs w:val="22"/>
        </w:rPr>
      </w:pPr>
      <w:r w:rsidDel="00000000" w:rsidR="00000000" w:rsidRPr="00000000">
        <w:rPr>
          <w:sz w:val="22"/>
          <w:szCs w:val="22"/>
          <w:rtl w:val="0"/>
        </w:rPr>
        <w:t xml:space="preserve">Feature selection prioritised physical race conditions rather than organisational identity. Input features included stint length, air temperature, tyre compound, and constructor information. Categorical variables were one-hot encoded for compatibility with the Decision Tree model. </w:t>
      </w:r>
    </w:p>
    <w:p w:rsidR="00000000" w:rsidDel="00000000" w:rsidP="00000000" w:rsidRDefault="00000000" w:rsidRPr="00000000" w14:paraId="0000002D">
      <w:pPr>
        <w:rPr>
          <w:sz w:val="18"/>
          <w:szCs w:val="18"/>
        </w:rPr>
      </w:pPr>
      <w:r w:rsidDel="00000000" w:rsidR="00000000" w:rsidRPr="00000000">
        <w:rPr>
          <w:rtl w:val="0"/>
        </w:rPr>
      </w:r>
    </w:p>
    <w:p w:rsidR="00000000" w:rsidDel="00000000" w:rsidP="00000000" w:rsidRDefault="00000000" w:rsidRPr="00000000" w14:paraId="0000002E">
      <w:pPr>
        <w:rPr>
          <w:sz w:val="22"/>
          <w:szCs w:val="22"/>
        </w:rPr>
      </w:pPr>
      <w:r w:rsidDel="00000000" w:rsidR="00000000" w:rsidRPr="00000000">
        <w:rPr>
          <w:sz w:val="22"/>
          <w:szCs w:val="22"/>
          <w:rtl w:val="0"/>
        </w:rPr>
        <w:t xml:space="preserve">A derived categorical feature, Team_Category, was used solely for fairness analysis and data splitting and was excluded from the specialised model inputs. Including this feature would cause label leakage, allowing the model to rely on team identity rather than learning relationships from race conditions, which would artificially lower error for dominant teams and compromise fairness and generalisability. Excluding Team_Category ensured that any bias reduction resulted from disaggregation alone, not explicit access to team status.</w:t>
      </w:r>
    </w:p>
    <w:p w:rsidR="00000000" w:rsidDel="00000000" w:rsidP="00000000" w:rsidRDefault="00000000" w:rsidRPr="00000000" w14:paraId="0000002F">
      <w:pPr>
        <w:rPr>
          <w:b w:val="1"/>
          <w:bCs w:val="1"/>
          <w:sz w:val="26"/>
          <w:szCs w:val="26"/>
        </w:rPr>
      </w:pPr>
      <w:r w:rsidDel="00000000" w:rsidR="00000000" w:rsidRPr="00000000">
        <w:rPr>
          <w:rtl w:val="0"/>
        </w:rPr>
      </w:r>
    </w:p>
    <w:p w:rsidR="00000000" w:rsidDel="00000000" w:rsidP="00000000" w:rsidRDefault="00000000" w:rsidRPr="00000000" w14:paraId="00000030">
      <w:pPr>
        <w:rPr>
          <w:b w:val="1"/>
          <w:bCs w:val="1"/>
          <w:sz w:val="26"/>
          <w:szCs w:val="26"/>
        </w:rPr>
      </w:pPr>
      <w:r w:rsidDel="00000000" w:rsidR="00000000" w:rsidRPr="00000000">
        <w:rPr>
          <w:b w:val="1"/>
          <w:bCs w:val="1"/>
          <w:sz w:val="26"/>
          <w:szCs w:val="26"/>
          <w:rtl w:val="0"/>
        </w:rPr>
        <w:t xml:space="preserve">3.3 Unified and Specialised Models</w:t>
      </w:r>
    </w:p>
    <w:p w:rsidR="00000000" w:rsidDel="00000000" w:rsidP="00000000" w:rsidRDefault="00000000" w:rsidRPr="00000000" w14:paraId="00000031">
      <w:pPr>
        <w:rPr>
          <w:b w:val="1"/>
          <w:bCs w:val="1"/>
          <w:sz w:val="4"/>
          <w:szCs w:val="4"/>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sz w:val="22"/>
          <w:szCs w:val="22"/>
          <w:rtl w:val="0"/>
        </w:rPr>
        <w:t xml:space="preserve">Each project first trained a single unified Decision Tree model on the full dataset to diagnose baseline predictive bias. Model performance was evaluated separately for top-tier and lower-tier teams using MAE, and bias was quantified as the absolute difference in MAE between groups.</w:t>
      </w:r>
    </w:p>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sz w:val="22"/>
          <w:szCs w:val="22"/>
        </w:rPr>
      </w:pPr>
      <w:r w:rsidDel="00000000" w:rsidR="00000000" w:rsidRPr="00000000">
        <w:rPr>
          <w:sz w:val="22"/>
          <w:szCs w:val="22"/>
          <w:rtl w:val="0"/>
        </w:rPr>
        <w:t xml:space="preserve">To mitigate the identified bias, a disaggregation strategy was applied by splitting the training data according to Team_Category and training separate specialised models for each team tier. Removing the team category feature from these models ensured predictions were learned from race conditions rather than team identity, improving fairness and generalisation.</w:t>
      </w:r>
    </w:p>
    <w:p w:rsidR="00000000" w:rsidDel="00000000" w:rsidP="00000000" w:rsidRDefault="00000000" w:rsidRPr="00000000" w14:paraId="00000035">
      <w:pPr>
        <w:rPr>
          <w:sz w:val="22"/>
          <w:szCs w:val="22"/>
        </w:rPr>
      </w:pPr>
      <w:r w:rsidDel="00000000" w:rsidR="00000000" w:rsidRPr="00000000">
        <w:rPr>
          <w:rtl w:val="0"/>
        </w:rPr>
      </w:r>
    </w:p>
    <w:p w:rsidR="00000000" w:rsidDel="00000000" w:rsidP="00000000" w:rsidRDefault="00000000" w:rsidRPr="00000000" w14:paraId="00000036">
      <w:pPr>
        <w:rPr>
          <w:b w:val="1"/>
          <w:bCs w:val="1"/>
          <w:sz w:val="26"/>
          <w:szCs w:val="26"/>
        </w:rPr>
      </w:pPr>
      <w:r w:rsidDel="00000000" w:rsidR="00000000" w:rsidRPr="00000000">
        <w:rPr>
          <w:b w:val="1"/>
          <w:bCs w:val="1"/>
          <w:sz w:val="26"/>
          <w:szCs w:val="26"/>
          <w:rtl w:val="0"/>
        </w:rPr>
        <w:t xml:space="preserve">3.4 Project-Specific Implementation</w:t>
      </w:r>
    </w:p>
    <w:p w:rsidR="00000000" w:rsidDel="00000000" w:rsidP="00000000" w:rsidRDefault="00000000" w:rsidRPr="00000000" w14:paraId="00000037">
      <w:pPr>
        <w:rPr>
          <w:sz w:val="8"/>
          <w:szCs w:val="8"/>
        </w:rPr>
      </w:pPr>
      <w:r w:rsidDel="00000000" w:rsidR="00000000" w:rsidRPr="00000000">
        <w:rPr>
          <w:rtl w:val="0"/>
        </w:rPr>
      </w:r>
    </w:p>
    <w:p w:rsidR="00000000" w:rsidDel="00000000" w:rsidP="00000000" w:rsidRDefault="00000000" w:rsidRPr="00000000" w14:paraId="00000038">
      <w:pPr>
        <w:rPr>
          <w:b w:val="1"/>
          <w:bCs w:val="1"/>
          <w:sz w:val="22"/>
          <w:szCs w:val="22"/>
        </w:rPr>
      </w:pPr>
      <w:r w:rsidDel="00000000" w:rsidR="00000000" w:rsidRPr="00000000">
        <w:rPr>
          <w:b w:val="1"/>
          <w:bCs w:val="1"/>
          <w:rtl w:val="0"/>
        </w:rPr>
        <w:t xml:space="preserve">Project A (Iman and Participant A)</w:t>
      </w:r>
      <w:r w:rsidDel="00000000" w:rsidR="00000000" w:rsidRPr="00000000">
        <w:rPr>
          <w:rtl w:val="0"/>
        </w:rPr>
      </w:r>
    </w:p>
    <w:p w:rsidR="00000000" w:rsidDel="00000000" w:rsidP="00000000" w:rsidRDefault="00000000" w:rsidRPr="00000000" w14:paraId="00000039">
      <w:pPr>
        <w:rPr>
          <w:b w:val="1"/>
          <w:bCs w:val="1"/>
          <w:sz w:val="22"/>
          <w:szCs w:val="22"/>
        </w:rPr>
      </w:pPr>
      <w:r w:rsidDel="00000000" w:rsidR="00000000" w:rsidRPr="00000000">
        <w:rPr>
          <w:sz w:val="22"/>
          <w:szCs w:val="22"/>
          <w:rtl w:val="0"/>
        </w:rPr>
        <w:t xml:space="preserve">Project A extended the shared pipeline by analysing directional bias through signed prediction errors, identifying minor overestimation for both team tiers, with slightly higher bias for lower-tier teams. These effects were small given dataset size and variability.</w:t>
      </w:r>
      <w:r w:rsidDel="00000000" w:rsidR="00000000" w:rsidRPr="00000000">
        <w:rPr>
          <w:rtl w:val="0"/>
        </w:rPr>
      </w:r>
    </w:p>
    <w:p w:rsidR="00000000" w:rsidDel="00000000" w:rsidP="00000000" w:rsidRDefault="00000000" w:rsidRPr="00000000" w14:paraId="0000003A">
      <w:pPr>
        <w:rPr>
          <w:b w:val="1"/>
          <w:bCs w:val="1"/>
        </w:rPr>
      </w:pPr>
      <w:r w:rsidDel="00000000" w:rsidR="00000000" w:rsidRPr="00000000">
        <w:rPr>
          <w:rtl w:val="0"/>
        </w:rPr>
      </w:r>
    </w:p>
    <w:p w:rsidR="00000000" w:rsidDel="00000000" w:rsidP="00000000" w:rsidRDefault="00000000" w:rsidRPr="00000000" w14:paraId="0000003B">
      <w:pPr>
        <w:rPr>
          <w:b w:val="1"/>
          <w:bCs w:val="1"/>
          <w:sz w:val="22"/>
          <w:szCs w:val="22"/>
        </w:rPr>
      </w:pPr>
      <w:r w:rsidDel="00000000" w:rsidR="00000000" w:rsidRPr="00000000">
        <w:rPr>
          <w:b w:val="1"/>
          <w:bCs w:val="1"/>
          <w:rtl w:val="0"/>
        </w:rPr>
        <w:t xml:space="preserve">Project B (Salma and Momena)</w:t>
      </w:r>
      <w:r w:rsidDel="00000000" w:rsidR="00000000" w:rsidRPr="00000000">
        <w:rPr>
          <w:rtl w:val="0"/>
        </w:rPr>
      </w:r>
    </w:p>
    <w:p w:rsidR="00000000" w:rsidDel="00000000" w:rsidP="00000000" w:rsidRDefault="00000000" w:rsidRPr="00000000" w14:paraId="0000003C">
      <w:pPr>
        <w:rPr>
          <w:sz w:val="22"/>
          <w:szCs w:val="22"/>
        </w:rPr>
      </w:pPr>
      <w:r w:rsidDel="00000000" w:rsidR="00000000" w:rsidRPr="00000000">
        <w:rPr>
          <w:sz w:val="22"/>
          <w:szCs w:val="22"/>
          <w:rtl w:val="0"/>
        </w:rPr>
        <w:t xml:space="preserve">Project B closely followed the shared pipeline but applied a stricter definition of top-tier teams, resulting in a larger baseline MAE disparity under the unified model. This led to a more pronounced bias reduction after disaggregation while maintaining comparability with other projects.For clarity, we included simple interpretive checks that display the magnitude of bias, as well as the differences in MAE and percentages of bias reduction.</w:t>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rPr>
          <w:b w:val="1"/>
          <w:bCs w:val="1"/>
          <w:sz w:val="22"/>
          <w:szCs w:val="22"/>
        </w:rPr>
      </w:pPr>
      <w:r w:rsidDel="00000000" w:rsidR="00000000" w:rsidRPr="00000000">
        <w:rPr>
          <w:b w:val="1"/>
          <w:bCs w:val="1"/>
          <w:rtl w:val="0"/>
        </w:rPr>
        <w:t xml:space="preserve">Project C (Neha)</w:t>
      </w:r>
      <w:r w:rsidDel="00000000" w:rsidR="00000000" w:rsidRPr="00000000">
        <w:rPr>
          <w:rtl w:val="0"/>
        </w:rPr>
      </w:r>
    </w:p>
    <w:p w:rsidR="00000000" w:rsidDel="00000000" w:rsidP="00000000" w:rsidRDefault="00000000" w:rsidRPr="00000000" w14:paraId="0000003F">
      <w:pPr>
        <w:rPr>
          <w:sz w:val="22"/>
          <w:szCs w:val="22"/>
        </w:rPr>
      </w:pPr>
      <w:r w:rsidDel="00000000" w:rsidR="00000000" w:rsidRPr="00000000">
        <w:rPr>
          <w:sz w:val="22"/>
          <w:szCs w:val="22"/>
          <w:rtl w:val="0"/>
        </w:rPr>
        <w:t xml:space="preserve">Project C strictly separated bias diagnosis and mitigation phases, ensuring that bias measurement and reduction were evaluated independently. This strengthened methodological clarity and supported a clearer causal interpretation of the fairness intervention.</w:t>
      </w:r>
    </w:p>
    <w:p w:rsidR="00000000" w:rsidDel="00000000" w:rsidP="00000000" w:rsidRDefault="00000000" w:rsidRPr="00000000" w14:paraId="00000040">
      <w:pPr>
        <w:rPr>
          <w:b w:val="1"/>
          <w:bCs w:val="1"/>
          <w:sz w:val="30"/>
          <w:szCs w:val="30"/>
        </w:rPr>
      </w:pPr>
      <w:r w:rsidDel="00000000" w:rsidR="00000000" w:rsidRPr="00000000">
        <w:rPr>
          <w:rtl w:val="0"/>
        </w:rPr>
      </w:r>
    </w:p>
    <w:p w:rsidR="00000000" w:rsidDel="00000000" w:rsidP="00000000" w:rsidRDefault="00000000" w:rsidRPr="00000000" w14:paraId="00000041">
      <w:pPr>
        <w:rPr>
          <w:b w:val="1"/>
          <w:bCs w:val="1"/>
          <w:sz w:val="30"/>
          <w:szCs w:val="30"/>
          <w:u w:val="single"/>
        </w:rPr>
      </w:pPr>
      <w:r w:rsidDel="00000000" w:rsidR="00000000" w:rsidRPr="00000000">
        <w:rPr>
          <w:b w:val="1"/>
          <w:bCs w:val="1"/>
          <w:sz w:val="30"/>
          <w:szCs w:val="30"/>
          <w:u w:val="single"/>
          <w:rtl w:val="0"/>
        </w:rPr>
        <w:t xml:space="preserve">4 Results</w:t>
      </w:r>
    </w:p>
    <w:p w:rsidR="00000000" w:rsidDel="00000000" w:rsidP="00000000" w:rsidRDefault="00000000" w:rsidRPr="00000000" w14:paraId="00000042">
      <w:pPr>
        <w:rPr>
          <w:sz w:val="8"/>
          <w:szCs w:val="8"/>
        </w:rPr>
      </w:pPr>
      <w:r w:rsidDel="00000000" w:rsidR="00000000" w:rsidRPr="00000000">
        <w:rPr>
          <w:rtl w:val="0"/>
        </w:rPr>
      </w:r>
    </w:p>
    <w:p w:rsidR="00000000" w:rsidDel="00000000" w:rsidP="00000000" w:rsidRDefault="00000000" w:rsidRPr="00000000" w14:paraId="00000043">
      <w:pPr>
        <w:rPr>
          <w:sz w:val="22"/>
          <w:szCs w:val="22"/>
        </w:rPr>
      </w:pPr>
      <w:r w:rsidDel="00000000" w:rsidR="00000000" w:rsidRPr="00000000">
        <w:rPr>
          <w:sz w:val="22"/>
          <w:szCs w:val="22"/>
          <w:rtl w:val="0"/>
        </w:rPr>
        <w:t xml:space="preserve">This section presents the quantitative results of the unified and specialised models, evaluated using MAE to assess predictive parity between team tiers.</w:t>
      </w:r>
    </w:p>
    <w:p w:rsidR="00000000" w:rsidDel="00000000" w:rsidP="00000000" w:rsidRDefault="00000000" w:rsidRPr="00000000" w14:paraId="00000044">
      <w:pPr>
        <w:rPr>
          <w:sz w:val="16"/>
          <w:szCs w:val="16"/>
        </w:rPr>
      </w:pPr>
      <w:r w:rsidDel="00000000" w:rsidR="00000000" w:rsidRPr="00000000">
        <w:rPr>
          <w:rtl w:val="0"/>
        </w:rPr>
      </w:r>
    </w:p>
    <w:p w:rsidR="00000000" w:rsidDel="00000000" w:rsidP="00000000" w:rsidRDefault="00000000" w:rsidRPr="00000000" w14:paraId="00000045">
      <w:pPr>
        <w:rPr>
          <w:b w:val="1"/>
          <w:bCs w:val="1"/>
          <w:sz w:val="26"/>
          <w:szCs w:val="26"/>
        </w:rPr>
      </w:pPr>
      <w:r w:rsidDel="00000000" w:rsidR="00000000" w:rsidRPr="00000000">
        <w:rPr>
          <w:b w:val="1"/>
          <w:bCs w:val="1"/>
          <w:sz w:val="26"/>
          <w:szCs w:val="26"/>
          <w:rtl w:val="0"/>
        </w:rPr>
        <w:t xml:space="preserve">4.1 Unified Model Results: Baseline Bias</w:t>
      </w:r>
    </w:p>
    <w:p w:rsidR="00000000" w:rsidDel="00000000" w:rsidP="00000000" w:rsidRDefault="00000000" w:rsidRPr="00000000" w14:paraId="00000046">
      <w:pPr>
        <w:rPr>
          <w:b w:val="1"/>
          <w:bCs w:val="1"/>
          <w:sz w:val="4"/>
          <w:szCs w:val="4"/>
        </w:rPr>
      </w:pP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sz w:val="22"/>
          <w:szCs w:val="22"/>
          <w:rtl w:val="0"/>
        </w:rPr>
        <w:t xml:space="preserve">The unified model results provide an initial assessment of predictive bias prior to any fairness intervention. For each project, Mean Absolute Error was computed separately for top-tier and lower-tier teams using a single Decision Tree model.</w:t>
      </w:r>
    </w:p>
    <w:p w:rsidR="00000000" w:rsidDel="00000000" w:rsidP="00000000" w:rsidRDefault="00000000" w:rsidRPr="00000000" w14:paraId="00000048">
      <w:pPr>
        <w:rPr>
          <w:sz w:val="22"/>
          <w:szCs w:val="22"/>
        </w:rPr>
      </w:pPr>
      <w:r w:rsidDel="00000000" w:rsidR="00000000" w:rsidRPr="00000000">
        <w:rPr>
          <w:rtl w:val="0"/>
        </w:rPr>
      </w:r>
    </w:p>
    <w:p w:rsidR="00000000" w:rsidDel="00000000" w:rsidP="00000000" w:rsidRDefault="00000000" w:rsidRPr="00000000" w14:paraId="00000049">
      <w:pPr>
        <w:rPr>
          <w:b w:val="1"/>
          <w:bCs w:val="1"/>
        </w:rPr>
      </w:pPr>
      <w:r w:rsidDel="00000000" w:rsidR="00000000" w:rsidRPr="00000000">
        <w:rPr>
          <w:b w:val="1"/>
          <w:bCs w:val="1"/>
          <w:rtl w:val="0"/>
        </w:rPr>
        <w:t xml:space="preserve">Table 1: Unified Model Mean Absolute Error by Project</w:t>
      </w:r>
    </w:p>
    <w:p w:rsidR="00000000" w:rsidDel="00000000" w:rsidP="00000000" w:rsidRDefault="00000000" w:rsidRPr="00000000" w14:paraId="0000004A">
      <w:pPr>
        <w:rPr>
          <w:rFonts w:ascii="Quattrocento Sans" w:cs="Quattrocento Sans" w:eastAsia="Quattrocento Sans" w:hAnsi="Quattrocento Sans"/>
          <w:sz w:val="22"/>
          <w:szCs w:val="22"/>
        </w:rPr>
      </w:pPr>
      <w:r w:rsidDel="00000000" w:rsidR="00000000" w:rsidRPr="00000000">
        <w:rPr>
          <w:rtl w:val="0"/>
        </w:rPr>
      </w:r>
    </w:p>
    <w:tbl>
      <w:tblPr>
        <w:tblStyle w:val="Table1"/>
        <w:tblW w:w="8783.999999999998"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112"/>
        <w:gridCol w:w="2112"/>
        <w:gridCol w:w="2112"/>
        <w:gridCol w:w="2448"/>
        <w:tblGridChange w:id="0">
          <w:tblGrid>
            <w:gridCol w:w="2112"/>
            <w:gridCol w:w="2112"/>
            <w:gridCol w:w="2112"/>
            <w:gridCol w:w="2448"/>
          </w:tblGrid>
        </w:tblGridChange>
      </w:tblGrid>
      <w:tr>
        <w:trPr>
          <w:cantSplit w:val="0"/>
          <w:trHeight w:val="281" w:hRule="atLeast"/>
          <w:tblHeader w:val="0"/>
        </w:trPr>
        <w:tc>
          <w:tcPr/>
          <w:p w:rsidR="00000000" w:rsidDel="00000000" w:rsidP="00000000" w:rsidRDefault="00000000" w:rsidRPr="00000000" w14:paraId="0000004B">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Project </w:t>
            </w:r>
            <w:r w:rsidDel="00000000" w:rsidR="00000000" w:rsidRPr="00000000">
              <w:rPr>
                <w:rtl w:val="0"/>
              </w:rPr>
            </w:r>
          </w:p>
        </w:tc>
        <w:tc>
          <w:tcPr/>
          <w:p w:rsidR="00000000" w:rsidDel="00000000" w:rsidP="00000000" w:rsidRDefault="00000000" w:rsidRPr="00000000" w14:paraId="0000004C">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UM Top-Tier MAE </w:t>
            </w:r>
            <w:r w:rsidDel="00000000" w:rsidR="00000000" w:rsidRPr="00000000">
              <w:rPr>
                <w:rtl w:val="0"/>
              </w:rPr>
            </w:r>
          </w:p>
        </w:tc>
        <w:tc>
          <w:tcPr/>
          <w:p w:rsidR="00000000" w:rsidDel="00000000" w:rsidP="00000000" w:rsidRDefault="00000000" w:rsidRPr="00000000" w14:paraId="0000004D">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UM Other-Tier MAE </w:t>
            </w:r>
            <w:r w:rsidDel="00000000" w:rsidR="00000000" w:rsidRPr="00000000">
              <w:rPr>
                <w:rtl w:val="0"/>
              </w:rPr>
            </w:r>
          </w:p>
        </w:tc>
        <w:tc>
          <w:tcPr/>
          <w:p w:rsidR="00000000" w:rsidDel="00000000" w:rsidP="00000000" w:rsidRDefault="00000000" w:rsidRPr="00000000" w14:paraId="0000004E">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UM Bias Difference </w:t>
            </w:r>
            <w:r w:rsidDel="00000000" w:rsidR="00000000" w:rsidRPr="00000000">
              <w:rPr>
                <w:rtl w:val="0"/>
              </w:rPr>
            </w:r>
          </w:p>
        </w:tc>
      </w:tr>
      <w:tr>
        <w:trPr>
          <w:cantSplit w:val="0"/>
          <w:trHeight w:val="281" w:hRule="atLeast"/>
          <w:tblHeader w:val="0"/>
        </w:trPr>
        <w:tc>
          <w:tcPr/>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A </w:t>
            </w:r>
            <w:r w:rsidDel="00000000" w:rsidR="00000000" w:rsidRPr="00000000">
              <w:rPr>
                <w:rtl w:val="0"/>
              </w:rPr>
            </w:r>
          </w:p>
        </w:tc>
        <w:tc>
          <w:tcPr/>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0.0323 </w:t>
            </w:r>
            <w:r w:rsidDel="00000000" w:rsidR="00000000" w:rsidRPr="00000000">
              <w:rPr>
                <w:rtl w:val="0"/>
              </w:rPr>
            </w:r>
          </w:p>
        </w:tc>
        <w:tc>
          <w:tcPr/>
          <w:p w:rsidR="00000000" w:rsidDel="00000000" w:rsidP="00000000" w:rsidRDefault="00000000" w:rsidRPr="00000000" w14:paraId="00000051">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0.0337</w:t>
            </w:r>
            <w:r w:rsidDel="00000000" w:rsidR="00000000" w:rsidRPr="00000000">
              <w:rPr>
                <w:rtl w:val="0"/>
              </w:rPr>
            </w:r>
          </w:p>
        </w:tc>
        <w:tc>
          <w:tcPr/>
          <w:p w:rsidR="00000000" w:rsidDel="00000000" w:rsidP="00000000" w:rsidRDefault="00000000" w:rsidRPr="00000000" w14:paraId="00000052">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0.0014</w:t>
            </w:r>
            <w:r w:rsidDel="00000000" w:rsidR="00000000" w:rsidRPr="00000000">
              <w:rPr>
                <w:rtl w:val="0"/>
              </w:rPr>
            </w:r>
          </w:p>
        </w:tc>
      </w:tr>
      <w:tr>
        <w:trPr>
          <w:cantSplit w:val="0"/>
          <w:trHeight w:val="281" w:hRule="atLeast"/>
          <w:tblHeader w:val="0"/>
        </w:trPr>
        <w:tc>
          <w:tcPr/>
          <w:p w:rsidR="00000000" w:rsidDel="00000000" w:rsidP="00000000" w:rsidRDefault="00000000" w:rsidRPr="00000000" w14:paraId="00000053">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B </w:t>
            </w:r>
            <w:r w:rsidDel="00000000" w:rsidR="00000000" w:rsidRPr="00000000">
              <w:rPr>
                <w:rtl w:val="0"/>
              </w:rPr>
            </w:r>
          </w:p>
        </w:tc>
        <w:tc>
          <w:tcPr/>
          <w:p w:rsidR="00000000" w:rsidDel="00000000" w:rsidP="00000000" w:rsidRDefault="00000000" w:rsidRPr="00000000" w14:paraId="00000054">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0.0319 </w:t>
            </w:r>
            <w:r w:rsidDel="00000000" w:rsidR="00000000" w:rsidRPr="00000000">
              <w:rPr>
                <w:rtl w:val="0"/>
              </w:rPr>
            </w:r>
          </w:p>
        </w:tc>
        <w:tc>
          <w:tcPr/>
          <w:p w:rsidR="00000000" w:rsidDel="00000000" w:rsidP="00000000" w:rsidRDefault="00000000" w:rsidRPr="00000000" w14:paraId="00000055">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0.0350</w:t>
            </w:r>
            <w:r w:rsidDel="00000000" w:rsidR="00000000" w:rsidRPr="00000000">
              <w:rPr>
                <w:rtl w:val="0"/>
              </w:rPr>
            </w:r>
          </w:p>
        </w:tc>
        <w:tc>
          <w:tcPr/>
          <w:p w:rsidR="00000000" w:rsidDel="00000000" w:rsidP="00000000" w:rsidRDefault="00000000" w:rsidRPr="00000000" w14:paraId="00000056">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0.00305 </w:t>
            </w:r>
            <w:r w:rsidDel="00000000" w:rsidR="00000000" w:rsidRPr="00000000">
              <w:rPr>
                <w:rtl w:val="0"/>
              </w:rPr>
            </w:r>
          </w:p>
        </w:tc>
      </w:tr>
      <w:tr>
        <w:trPr>
          <w:cantSplit w:val="0"/>
          <w:trHeight w:val="380" w:hRule="atLeast"/>
          <w:tblHeader w:val="0"/>
        </w:trPr>
        <w:tc>
          <w:tcPr/>
          <w:p w:rsidR="00000000" w:rsidDel="00000000" w:rsidP="00000000" w:rsidRDefault="00000000" w:rsidRPr="00000000" w14:paraId="00000057">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C </w:t>
            </w:r>
            <w:r w:rsidDel="00000000" w:rsidR="00000000" w:rsidRPr="00000000">
              <w:rPr>
                <w:rtl w:val="0"/>
              </w:rPr>
            </w:r>
          </w:p>
        </w:tc>
        <w:tc>
          <w:tcPr/>
          <w:p w:rsidR="00000000" w:rsidDel="00000000" w:rsidP="00000000" w:rsidRDefault="00000000" w:rsidRPr="00000000" w14:paraId="00000058">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0.0071</w:t>
            </w:r>
            <w:r w:rsidDel="00000000" w:rsidR="00000000" w:rsidRPr="00000000">
              <w:rPr>
                <w:rtl w:val="0"/>
              </w:rPr>
            </w:r>
          </w:p>
        </w:tc>
        <w:tc>
          <w:tcPr/>
          <w:p w:rsidR="00000000" w:rsidDel="00000000" w:rsidP="00000000" w:rsidRDefault="00000000" w:rsidRPr="00000000" w14:paraId="00000059">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0.0097</w:t>
            </w:r>
            <w:r w:rsidDel="00000000" w:rsidR="00000000" w:rsidRPr="00000000">
              <w:rPr>
                <w:rtl w:val="0"/>
              </w:rPr>
            </w:r>
          </w:p>
        </w:tc>
        <w:tc>
          <w:tcPr/>
          <w:p w:rsidR="00000000" w:rsidDel="00000000" w:rsidP="00000000" w:rsidRDefault="00000000" w:rsidRPr="00000000" w14:paraId="0000005A">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0.0025</w:t>
            </w:r>
            <w:r w:rsidDel="00000000" w:rsidR="00000000" w:rsidRPr="00000000">
              <w:rPr>
                <w:rtl w:val="0"/>
              </w:rPr>
            </w:r>
          </w:p>
        </w:tc>
      </w:tr>
    </w:tbl>
    <w:p w:rsidR="00000000" w:rsidDel="00000000" w:rsidP="00000000" w:rsidRDefault="00000000" w:rsidRPr="00000000" w14:paraId="0000005B">
      <w:pPr>
        <w:rPr>
          <w:b w:val="1"/>
          <w:bCs w:val="1"/>
          <w:sz w:val="22"/>
          <w:szCs w:val="22"/>
        </w:rPr>
      </w:pPr>
      <w:r w:rsidDel="00000000" w:rsidR="00000000" w:rsidRPr="00000000">
        <w:rPr>
          <w:rtl w:val="0"/>
        </w:rPr>
      </w:r>
    </w:p>
    <w:p w:rsidR="00000000" w:rsidDel="00000000" w:rsidP="00000000" w:rsidRDefault="00000000" w:rsidRPr="00000000" w14:paraId="0000005C">
      <w:pPr>
        <w:rPr>
          <w:b w:val="1"/>
          <w:bCs w:val="1"/>
          <w:sz w:val="26"/>
          <w:szCs w:val="26"/>
        </w:rPr>
      </w:pPr>
      <w:r w:rsidDel="00000000" w:rsidR="00000000" w:rsidRPr="00000000">
        <w:rPr>
          <w:rtl w:val="0"/>
        </w:rPr>
      </w:r>
    </w:p>
    <w:p w:rsidR="00000000" w:rsidDel="00000000" w:rsidP="00000000" w:rsidRDefault="00000000" w:rsidRPr="00000000" w14:paraId="0000005D">
      <w:pPr>
        <w:rPr>
          <w:b w:val="1"/>
          <w:bCs w:val="1"/>
          <w:sz w:val="26"/>
          <w:szCs w:val="26"/>
        </w:rPr>
      </w:pPr>
      <w:r w:rsidDel="00000000" w:rsidR="00000000" w:rsidRPr="00000000">
        <w:rPr>
          <w:b w:val="1"/>
          <w:bCs w:val="1"/>
          <w:sz w:val="26"/>
          <w:szCs w:val="26"/>
          <w:rtl w:val="0"/>
        </w:rPr>
        <w:t xml:space="preserve">4.2 Specialised Model Results: Bias Mitigation</w:t>
      </w:r>
    </w:p>
    <w:p w:rsidR="00000000" w:rsidDel="00000000" w:rsidP="00000000" w:rsidRDefault="00000000" w:rsidRPr="00000000" w14:paraId="0000005E">
      <w:pPr>
        <w:rPr>
          <w:b w:val="1"/>
          <w:bCs w:val="1"/>
          <w:sz w:val="2"/>
          <w:szCs w:val="2"/>
        </w:rPr>
      </w:pPr>
      <w:r w:rsidDel="00000000" w:rsidR="00000000" w:rsidRPr="00000000">
        <w:rPr>
          <w:rtl w:val="0"/>
        </w:rPr>
      </w:r>
    </w:p>
    <w:p w:rsidR="00000000" w:rsidDel="00000000" w:rsidP="00000000" w:rsidRDefault="00000000" w:rsidRPr="00000000" w14:paraId="0000005F">
      <w:pPr>
        <w:rPr>
          <w:sz w:val="22"/>
          <w:szCs w:val="22"/>
        </w:rPr>
      </w:pPr>
      <w:r w:rsidDel="00000000" w:rsidR="00000000" w:rsidRPr="00000000">
        <w:rPr>
          <w:sz w:val="22"/>
          <w:szCs w:val="22"/>
          <w:rtl w:val="0"/>
        </w:rPr>
        <w:t xml:space="preserve">Following the identification of baseline bias, each project applied a disaggregation strategy by training specialised models for top-tier and lower-tier teams. Model performance was again evaluated using MAE.</w:t>
      </w:r>
    </w:p>
    <w:p w:rsidR="00000000" w:rsidDel="00000000" w:rsidP="00000000" w:rsidRDefault="00000000" w:rsidRPr="00000000" w14:paraId="00000060">
      <w:pPr>
        <w:rPr>
          <w:b w:val="1"/>
          <w:bCs w:val="1"/>
          <w:sz w:val="22"/>
          <w:szCs w:val="22"/>
        </w:rPr>
      </w:pPr>
      <w:r w:rsidDel="00000000" w:rsidR="00000000" w:rsidRPr="00000000">
        <w:rPr>
          <w:rtl w:val="0"/>
        </w:rPr>
      </w:r>
    </w:p>
    <w:p w:rsidR="00000000" w:rsidDel="00000000" w:rsidP="00000000" w:rsidRDefault="00000000" w:rsidRPr="00000000" w14:paraId="00000061">
      <w:pPr>
        <w:rPr>
          <w:b w:val="1"/>
          <w:bCs w:val="1"/>
        </w:rPr>
      </w:pPr>
      <w:r w:rsidDel="00000000" w:rsidR="00000000" w:rsidRPr="00000000">
        <w:rPr>
          <w:b w:val="1"/>
          <w:bCs w:val="1"/>
          <w:rtl w:val="0"/>
        </w:rPr>
        <w:t xml:space="preserve">Table 2: Specialised Model Mean Absolute Error by Project</w:t>
      </w:r>
    </w:p>
    <w:p w:rsidR="00000000" w:rsidDel="00000000" w:rsidP="00000000" w:rsidRDefault="00000000" w:rsidRPr="00000000" w14:paraId="00000062">
      <w:pPr>
        <w:rPr>
          <w:rFonts w:ascii="Quattrocento Sans" w:cs="Quattrocento Sans" w:eastAsia="Quattrocento Sans" w:hAnsi="Quattrocento Sans"/>
          <w:sz w:val="14"/>
          <w:szCs w:val="14"/>
        </w:rPr>
      </w:pPr>
      <w:r w:rsidDel="00000000" w:rsidR="00000000" w:rsidRPr="00000000">
        <w:rPr>
          <w:rtl w:val="0"/>
        </w:rPr>
      </w:r>
    </w:p>
    <w:tbl>
      <w:tblPr>
        <w:tblStyle w:val="Table2"/>
        <w:tblW w:w="8823.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034"/>
        <w:gridCol w:w="2034"/>
        <w:gridCol w:w="2034"/>
        <w:gridCol w:w="2721"/>
        <w:tblGridChange w:id="0">
          <w:tblGrid>
            <w:gridCol w:w="2034"/>
            <w:gridCol w:w="2034"/>
            <w:gridCol w:w="2034"/>
            <w:gridCol w:w="2721"/>
          </w:tblGrid>
        </w:tblGridChange>
      </w:tblGrid>
      <w:tr>
        <w:trPr>
          <w:cantSplit w:val="0"/>
          <w:trHeight w:val="279" w:hRule="atLeast"/>
          <w:tblHeader w:val="0"/>
        </w:trPr>
        <w:tc>
          <w:tcPr/>
          <w:p w:rsidR="00000000" w:rsidDel="00000000" w:rsidP="00000000" w:rsidRDefault="00000000" w:rsidRPr="00000000" w14:paraId="00000063">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Project </w:t>
            </w:r>
            <w:r w:rsidDel="00000000" w:rsidR="00000000" w:rsidRPr="00000000">
              <w:rPr>
                <w:rtl w:val="0"/>
              </w:rPr>
            </w:r>
          </w:p>
        </w:tc>
        <w:tc>
          <w:tcPr/>
          <w:p w:rsidR="00000000" w:rsidDel="00000000" w:rsidP="00000000" w:rsidRDefault="00000000" w:rsidRPr="00000000" w14:paraId="00000064">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SM Top-Tier MAE </w:t>
            </w:r>
            <w:r w:rsidDel="00000000" w:rsidR="00000000" w:rsidRPr="00000000">
              <w:rPr>
                <w:rtl w:val="0"/>
              </w:rPr>
            </w:r>
          </w:p>
        </w:tc>
        <w:tc>
          <w:tcPr/>
          <w:p w:rsidR="00000000" w:rsidDel="00000000" w:rsidP="00000000" w:rsidRDefault="00000000" w:rsidRPr="00000000" w14:paraId="00000065">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SM Other-Tier MAE </w:t>
            </w:r>
            <w:r w:rsidDel="00000000" w:rsidR="00000000" w:rsidRPr="00000000">
              <w:rPr>
                <w:rtl w:val="0"/>
              </w:rPr>
            </w:r>
          </w:p>
        </w:tc>
        <w:tc>
          <w:tcPr/>
          <w:p w:rsidR="00000000" w:rsidDel="00000000" w:rsidP="00000000" w:rsidRDefault="00000000" w:rsidRPr="00000000" w14:paraId="00000066">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SM Bias Difference </w:t>
            </w:r>
            <w:r w:rsidDel="00000000" w:rsidR="00000000" w:rsidRPr="00000000">
              <w:rPr>
                <w:rtl w:val="0"/>
              </w:rPr>
            </w:r>
          </w:p>
        </w:tc>
      </w:tr>
      <w:tr>
        <w:trPr>
          <w:cantSplit w:val="0"/>
          <w:trHeight w:val="279" w:hRule="atLeast"/>
          <w:tblHeader w:val="0"/>
        </w:trPr>
        <w:tc>
          <w:tcPr/>
          <w:p w:rsidR="00000000" w:rsidDel="00000000" w:rsidP="00000000" w:rsidRDefault="00000000" w:rsidRPr="00000000" w14:paraId="00000067">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A </w:t>
            </w:r>
            <w:r w:rsidDel="00000000" w:rsidR="00000000" w:rsidRPr="00000000">
              <w:rPr>
                <w:rtl w:val="0"/>
              </w:rPr>
            </w:r>
          </w:p>
        </w:tc>
        <w:tc>
          <w:tcPr/>
          <w:p w:rsidR="00000000" w:rsidDel="00000000" w:rsidP="00000000" w:rsidRDefault="00000000" w:rsidRPr="00000000" w14:paraId="00000068">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0.0331 </w:t>
            </w:r>
            <w:r w:rsidDel="00000000" w:rsidR="00000000" w:rsidRPr="00000000">
              <w:rPr>
                <w:rtl w:val="0"/>
              </w:rPr>
            </w:r>
          </w:p>
        </w:tc>
        <w:tc>
          <w:tcPr/>
          <w:p w:rsidR="00000000" w:rsidDel="00000000" w:rsidP="00000000" w:rsidRDefault="00000000" w:rsidRPr="00000000" w14:paraId="00000069">
            <w:pPr>
              <w:tabs>
                <w:tab w:val="right" w:leader="none" w:pos="2010"/>
              </w:tabs>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0.0336 </w:t>
              <w:tab/>
            </w:r>
            <w:r w:rsidDel="00000000" w:rsidR="00000000" w:rsidRPr="00000000">
              <w:rPr>
                <w:rtl w:val="0"/>
              </w:rPr>
            </w:r>
          </w:p>
        </w:tc>
        <w:tc>
          <w:tcPr/>
          <w:p w:rsidR="00000000" w:rsidDel="00000000" w:rsidP="00000000" w:rsidRDefault="00000000" w:rsidRPr="00000000" w14:paraId="0000006A">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0.0005 </w:t>
            </w:r>
            <w:r w:rsidDel="00000000" w:rsidR="00000000" w:rsidRPr="00000000">
              <w:rPr>
                <w:rtl w:val="0"/>
              </w:rPr>
            </w:r>
          </w:p>
        </w:tc>
      </w:tr>
      <w:tr>
        <w:trPr>
          <w:cantSplit w:val="0"/>
          <w:trHeight w:val="279" w:hRule="atLeast"/>
          <w:tblHeader w:val="0"/>
        </w:trPr>
        <w:tc>
          <w:tcPr/>
          <w:p w:rsidR="00000000" w:rsidDel="00000000" w:rsidP="00000000" w:rsidRDefault="00000000" w:rsidRPr="00000000" w14:paraId="0000006B">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B </w:t>
            </w:r>
            <w:r w:rsidDel="00000000" w:rsidR="00000000" w:rsidRPr="00000000">
              <w:rPr>
                <w:rtl w:val="0"/>
              </w:rPr>
            </w:r>
          </w:p>
        </w:tc>
        <w:tc>
          <w:tcPr/>
          <w:p w:rsidR="00000000" w:rsidDel="00000000" w:rsidP="00000000" w:rsidRDefault="00000000" w:rsidRPr="00000000" w14:paraId="0000006C">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0.0362 </w:t>
            </w:r>
            <w:r w:rsidDel="00000000" w:rsidR="00000000" w:rsidRPr="00000000">
              <w:rPr>
                <w:rtl w:val="0"/>
              </w:rPr>
            </w:r>
          </w:p>
        </w:tc>
        <w:tc>
          <w:tcPr/>
          <w:p w:rsidR="00000000" w:rsidDel="00000000" w:rsidP="00000000" w:rsidRDefault="00000000" w:rsidRPr="00000000" w14:paraId="0000006D">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0.0360 </w:t>
            </w:r>
            <w:r w:rsidDel="00000000" w:rsidR="00000000" w:rsidRPr="00000000">
              <w:rPr>
                <w:rtl w:val="0"/>
              </w:rPr>
            </w:r>
          </w:p>
        </w:tc>
        <w:tc>
          <w:tcPr/>
          <w:p w:rsidR="00000000" w:rsidDel="00000000" w:rsidP="00000000" w:rsidRDefault="00000000" w:rsidRPr="00000000" w14:paraId="0000006E">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0.00024 </w:t>
            </w: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6F">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C </w:t>
            </w:r>
            <w:r w:rsidDel="00000000" w:rsidR="00000000" w:rsidRPr="00000000">
              <w:rPr>
                <w:rtl w:val="0"/>
              </w:rPr>
            </w:r>
          </w:p>
        </w:tc>
        <w:tc>
          <w:tcPr/>
          <w:p w:rsidR="00000000" w:rsidDel="00000000" w:rsidP="00000000" w:rsidRDefault="00000000" w:rsidRPr="00000000" w14:paraId="00000070">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0.0115 </w:t>
            </w:r>
            <w:r w:rsidDel="00000000" w:rsidR="00000000" w:rsidRPr="00000000">
              <w:rPr>
                <w:rtl w:val="0"/>
              </w:rPr>
            </w:r>
          </w:p>
        </w:tc>
        <w:tc>
          <w:tcPr/>
          <w:p w:rsidR="00000000" w:rsidDel="00000000" w:rsidP="00000000" w:rsidRDefault="00000000" w:rsidRPr="00000000" w14:paraId="00000071">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0.0111 </w:t>
            </w:r>
            <w:r w:rsidDel="00000000" w:rsidR="00000000" w:rsidRPr="00000000">
              <w:rPr>
                <w:rtl w:val="0"/>
              </w:rPr>
            </w:r>
          </w:p>
        </w:tc>
        <w:tc>
          <w:tcPr/>
          <w:p w:rsidR="00000000" w:rsidDel="00000000" w:rsidP="00000000" w:rsidRDefault="00000000" w:rsidRPr="00000000" w14:paraId="00000072">
            <w:pPr>
              <w:rPr>
                <w:rFonts w:ascii="Times New Roman" w:cs="Times New Roman" w:eastAsia="Times New Roman" w:hAnsi="Times New Roman"/>
                <w:sz w:val="22"/>
                <w:szCs w:val="22"/>
              </w:rPr>
            </w:pPr>
            <w:r w:rsidDel="00000000" w:rsidR="00000000" w:rsidRPr="00000000">
              <w:rPr>
                <w:rFonts w:ascii="Calibri" w:cs="Calibri" w:eastAsia="Calibri" w:hAnsi="Calibri"/>
                <w:color w:val="000000"/>
                <w:sz w:val="22"/>
                <w:szCs w:val="22"/>
                <w:rtl w:val="0"/>
              </w:rPr>
              <w:t xml:space="preserve">0.0004 </w:t>
            </w:r>
            <w:r w:rsidDel="00000000" w:rsidR="00000000" w:rsidRPr="00000000">
              <w:rPr>
                <w:rtl w:val="0"/>
              </w:rPr>
            </w:r>
          </w:p>
        </w:tc>
      </w:tr>
    </w:tbl>
    <w:p w:rsidR="00000000" w:rsidDel="00000000" w:rsidP="00000000" w:rsidRDefault="00000000" w:rsidRPr="00000000" w14:paraId="00000073">
      <w:pPr>
        <w:rPr>
          <w:b w:val="1"/>
          <w:bCs w:val="1"/>
          <w:sz w:val="22"/>
          <w:szCs w:val="22"/>
        </w:rPr>
      </w:pPr>
      <w:r w:rsidDel="00000000" w:rsidR="00000000" w:rsidRPr="00000000">
        <w:rPr>
          <w:rtl w:val="0"/>
        </w:rPr>
      </w:r>
    </w:p>
    <w:p w:rsidR="00000000" w:rsidDel="00000000" w:rsidP="00000000" w:rsidRDefault="00000000" w:rsidRPr="00000000" w14:paraId="00000074">
      <w:pPr>
        <w:rPr>
          <w:b w:val="1"/>
          <w:bCs w:val="1"/>
          <w:sz w:val="22"/>
          <w:szCs w:val="22"/>
        </w:rPr>
      </w:pPr>
      <w:r w:rsidDel="00000000" w:rsidR="00000000" w:rsidRPr="00000000">
        <w:rPr>
          <w:sz w:val="22"/>
          <w:szCs w:val="22"/>
          <w:rtl w:val="0"/>
        </w:rPr>
        <w:t xml:space="preserve">Across all projects, specialised models reduced MAE disparities between team tiers, indicating improved predictive parity.</w:t>
      </w:r>
      <w:r w:rsidDel="00000000" w:rsidR="00000000" w:rsidRPr="00000000">
        <w:rPr>
          <w:rtl w:val="0"/>
        </w:rPr>
      </w:r>
    </w:p>
    <w:p w:rsidR="00000000" w:rsidDel="00000000" w:rsidP="00000000" w:rsidRDefault="00000000" w:rsidRPr="00000000" w14:paraId="00000075">
      <w:pPr>
        <w:rPr>
          <w:b w:val="1"/>
          <w:bCs w:val="1"/>
          <w:sz w:val="22"/>
          <w:szCs w:val="22"/>
        </w:rPr>
      </w:pPr>
      <w:r w:rsidDel="00000000" w:rsidR="00000000" w:rsidRPr="00000000">
        <w:rPr>
          <w:rtl w:val="0"/>
        </w:rPr>
      </w:r>
    </w:p>
    <w:p w:rsidR="00000000" w:rsidDel="00000000" w:rsidP="00000000" w:rsidRDefault="00000000" w:rsidRPr="00000000" w14:paraId="00000076">
      <w:pPr>
        <w:rPr>
          <w:b w:val="1"/>
          <w:bCs w:val="1"/>
          <w:sz w:val="26"/>
          <w:szCs w:val="26"/>
        </w:rPr>
      </w:pPr>
      <w:r w:rsidDel="00000000" w:rsidR="00000000" w:rsidRPr="00000000">
        <w:rPr>
          <w:b w:val="1"/>
          <w:bCs w:val="1"/>
          <w:sz w:val="26"/>
          <w:szCs w:val="26"/>
          <w:rtl w:val="0"/>
        </w:rPr>
        <w:t xml:space="preserve">4.3 Bias Reduction Comparison Across Projects</w:t>
      </w:r>
    </w:p>
    <w:p w:rsidR="00000000" w:rsidDel="00000000" w:rsidP="00000000" w:rsidRDefault="00000000" w:rsidRPr="00000000" w14:paraId="00000077">
      <w:pPr>
        <w:rPr>
          <w:b w:val="1"/>
          <w:bCs w:val="1"/>
          <w:sz w:val="2"/>
          <w:szCs w:val="2"/>
        </w:rPr>
      </w:pPr>
      <w:r w:rsidDel="00000000" w:rsidR="00000000" w:rsidRPr="00000000">
        <w:rPr>
          <w:rtl w:val="0"/>
        </w:rPr>
      </w:r>
    </w:p>
    <w:p w:rsidR="00000000" w:rsidDel="00000000" w:rsidP="00000000" w:rsidRDefault="00000000" w:rsidRPr="00000000" w14:paraId="00000078">
      <w:pPr>
        <w:rPr>
          <w:b w:val="1"/>
          <w:bCs w:val="1"/>
          <w:sz w:val="22"/>
          <w:szCs w:val="22"/>
        </w:rPr>
      </w:pPr>
      <w:r w:rsidDel="00000000" w:rsidR="00000000" w:rsidRPr="00000000">
        <w:rPr>
          <w:sz w:val="22"/>
          <w:szCs w:val="22"/>
          <w:rtl w:val="0"/>
        </w:rPr>
        <w:t xml:space="preserve">To compare the effectiveness of the mitigation strategy, bias reduction was calculated as the percentage decrease in the MAE difference between top-tier and lower-tier teams.</w:t>
      </w:r>
      <w:r w:rsidDel="00000000" w:rsidR="00000000" w:rsidRPr="00000000">
        <w:rPr>
          <w:rtl w:val="0"/>
        </w:rPr>
      </w:r>
    </w:p>
    <w:p w:rsidR="00000000" w:rsidDel="00000000" w:rsidP="00000000" w:rsidRDefault="00000000" w:rsidRPr="00000000" w14:paraId="00000079">
      <w:pPr>
        <w:rPr>
          <w:b w:val="1"/>
          <w:bCs w:val="1"/>
          <w:sz w:val="22"/>
          <w:szCs w:val="22"/>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b w:val="1"/>
          <w:bCs w:val="1"/>
          <w:rtl w:val="0"/>
        </w:rPr>
        <w:t xml:space="preserve">Table 3: Bias Reduction Summary</w:t>
      </w:r>
    </w:p>
    <w:p w:rsidR="00000000" w:rsidDel="00000000" w:rsidP="00000000" w:rsidRDefault="00000000" w:rsidRPr="00000000" w14:paraId="0000007B">
      <w:pPr>
        <w:rPr>
          <w:sz w:val="14"/>
          <w:szCs w:val="14"/>
        </w:rPr>
      </w:pPr>
      <w:r w:rsidDel="00000000" w:rsidR="00000000" w:rsidRPr="00000000">
        <w:rPr>
          <w:rtl w:val="0"/>
        </w:rPr>
      </w:r>
    </w:p>
    <w:tbl>
      <w:tblPr>
        <w:tblStyle w:val="Table3"/>
        <w:tblW w:w="8824.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A0"/>
      </w:tblPr>
      <w:tblGrid>
        <w:gridCol w:w="2206"/>
        <w:gridCol w:w="2206"/>
        <w:gridCol w:w="2206"/>
        <w:gridCol w:w="2206"/>
        <w:tblGridChange w:id="0">
          <w:tblGrid>
            <w:gridCol w:w="2206"/>
            <w:gridCol w:w="2206"/>
            <w:gridCol w:w="2206"/>
            <w:gridCol w:w="2206"/>
          </w:tblGrid>
        </w:tblGridChange>
      </w:tblGrid>
      <w:tr>
        <w:trPr>
          <w:cantSplit w:val="0"/>
          <w:trHeight w:val="279" w:hRule="atLeast"/>
          <w:tblHeader w:val="0"/>
        </w:trPr>
        <w:tc>
          <w:tcPr/>
          <w:p w:rsidR="00000000" w:rsidDel="00000000" w:rsidP="00000000" w:rsidRDefault="00000000" w:rsidRPr="00000000" w14:paraId="0000007C">
            <w:pPr>
              <w:rPr>
                <w:rFonts w:ascii="Quattrocento Sans" w:cs="Quattrocento Sans" w:eastAsia="Quattrocento Sans" w:hAnsi="Quattrocento Sans"/>
                <w:sz w:val="22"/>
                <w:szCs w:val="22"/>
              </w:rPr>
            </w:pPr>
            <w:r w:rsidDel="00000000" w:rsidR="00000000" w:rsidRPr="00000000">
              <w:rPr>
                <w:rFonts w:ascii="Calibri" w:cs="Calibri" w:eastAsia="Calibri" w:hAnsi="Calibri"/>
                <w:b w:val="1"/>
                <w:bCs w:val="1"/>
                <w:color w:val="000000"/>
                <w:sz w:val="22"/>
                <w:szCs w:val="22"/>
                <w:rtl w:val="0"/>
              </w:rPr>
              <w:t xml:space="preserve">Project</w:t>
            </w:r>
            <w:r w:rsidDel="00000000" w:rsidR="00000000" w:rsidRPr="00000000">
              <w:rPr>
                <w:rFonts w:ascii="Calibri" w:cs="Calibri" w:eastAsia="Calibri" w:hAnsi="Calibri"/>
                <w:color w:val="000000"/>
                <w:sz w:val="22"/>
                <w:szCs w:val="22"/>
                <w:rtl w:val="0"/>
              </w:rPr>
              <w:t xml:space="preserve"> </w:t>
            </w:r>
            <w:r w:rsidDel="00000000" w:rsidR="00000000" w:rsidRPr="00000000">
              <w:rPr>
                <w:rtl w:val="0"/>
              </w:rPr>
            </w:r>
          </w:p>
        </w:tc>
        <w:tc>
          <w:tcPr/>
          <w:p w:rsidR="00000000" w:rsidDel="00000000" w:rsidP="00000000" w:rsidRDefault="00000000" w:rsidRPr="00000000" w14:paraId="0000007D">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Initial Bias </w:t>
            </w:r>
            <w:r w:rsidDel="00000000" w:rsidR="00000000" w:rsidRPr="00000000">
              <w:rPr>
                <w:rtl w:val="0"/>
              </w:rPr>
            </w:r>
          </w:p>
        </w:tc>
        <w:tc>
          <w:tcPr/>
          <w:p w:rsidR="00000000" w:rsidDel="00000000" w:rsidP="00000000" w:rsidRDefault="00000000" w:rsidRPr="00000000" w14:paraId="0000007E">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Final Bias </w:t>
            </w:r>
            <w:r w:rsidDel="00000000" w:rsidR="00000000" w:rsidRPr="00000000">
              <w:rPr>
                <w:rtl w:val="0"/>
              </w:rPr>
            </w:r>
          </w:p>
        </w:tc>
        <w:tc>
          <w:tcPr/>
          <w:p w:rsidR="00000000" w:rsidDel="00000000" w:rsidP="00000000" w:rsidRDefault="00000000" w:rsidRPr="00000000" w14:paraId="0000007F">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Bias Reduction  </w:t>
            </w:r>
            <w:r w:rsidDel="00000000" w:rsidR="00000000" w:rsidRPr="00000000">
              <w:rPr>
                <w:rtl w:val="0"/>
              </w:rPr>
            </w:r>
          </w:p>
        </w:tc>
      </w:tr>
      <w:tr>
        <w:trPr>
          <w:cantSplit w:val="0"/>
          <w:trHeight w:val="279" w:hRule="atLeast"/>
          <w:tblHeader w:val="0"/>
        </w:trPr>
        <w:tc>
          <w:tcPr/>
          <w:p w:rsidR="00000000" w:rsidDel="00000000" w:rsidP="00000000" w:rsidRDefault="00000000" w:rsidRPr="00000000" w14:paraId="00000080">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A </w:t>
            </w:r>
            <w:r w:rsidDel="00000000" w:rsidR="00000000" w:rsidRPr="00000000">
              <w:rPr>
                <w:rtl w:val="0"/>
              </w:rPr>
            </w:r>
          </w:p>
        </w:tc>
        <w:tc>
          <w:tcPr/>
          <w:p w:rsidR="00000000" w:rsidDel="00000000" w:rsidP="00000000" w:rsidRDefault="00000000" w:rsidRPr="00000000" w14:paraId="00000081">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0.0014 </w:t>
            </w:r>
            <w:r w:rsidDel="00000000" w:rsidR="00000000" w:rsidRPr="00000000">
              <w:rPr>
                <w:rtl w:val="0"/>
              </w:rPr>
            </w:r>
          </w:p>
        </w:tc>
        <w:tc>
          <w:tcPr/>
          <w:p w:rsidR="00000000" w:rsidDel="00000000" w:rsidP="00000000" w:rsidRDefault="00000000" w:rsidRPr="00000000" w14:paraId="00000082">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0.0005 </w:t>
            </w:r>
            <w:r w:rsidDel="00000000" w:rsidR="00000000" w:rsidRPr="00000000">
              <w:rPr>
                <w:rtl w:val="0"/>
              </w:rPr>
            </w:r>
          </w:p>
        </w:tc>
        <w:tc>
          <w:tcPr/>
          <w:p w:rsidR="00000000" w:rsidDel="00000000" w:rsidP="00000000" w:rsidRDefault="00000000" w:rsidRPr="00000000" w14:paraId="00000083">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65.3% </w:t>
            </w:r>
            <w:r w:rsidDel="00000000" w:rsidR="00000000" w:rsidRPr="00000000">
              <w:rPr>
                <w:rtl w:val="0"/>
              </w:rPr>
            </w:r>
          </w:p>
        </w:tc>
      </w:tr>
      <w:tr>
        <w:trPr>
          <w:cantSplit w:val="0"/>
          <w:trHeight w:val="279" w:hRule="atLeast"/>
          <w:tblHeader w:val="0"/>
        </w:trPr>
        <w:tc>
          <w:tcPr/>
          <w:p w:rsidR="00000000" w:rsidDel="00000000" w:rsidP="00000000" w:rsidRDefault="00000000" w:rsidRPr="00000000" w14:paraId="00000084">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B </w:t>
            </w:r>
            <w:r w:rsidDel="00000000" w:rsidR="00000000" w:rsidRPr="00000000">
              <w:rPr>
                <w:rtl w:val="0"/>
              </w:rPr>
            </w:r>
          </w:p>
        </w:tc>
        <w:tc>
          <w:tcPr/>
          <w:p w:rsidR="00000000" w:rsidDel="00000000" w:rsidP="00000000" w:rsidRDefault="00000000" w:rsidRPr="00000000" w14:paraId="00000085">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0.00305 </w:t>
            </w:r>
            <w:r w:rsidDel="00000000" w:rsidR="00000000" w:rsidRPr="00000000">
              <w:rPr>
                <w:rtl w:val="0"/>
              </w:rPr>
            </w:r>
          </w:p>
        </w:tc>
        <w:tc>
          <w:tcPr/>
          <w:p w:rsidR="00000000" w:rsidDel="00000000" w:rsidP="00000000" w:rsidRDefault="00000000" w:rsidRPr="00000000" w14:paraId="00000086">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0.00024 </w:t>
            </w:r>
            <w:r w:rsidDel="00000000" w:rsidR="00000000" w:rsidRPr="00000000">
              <w:rPr>
                <w:rtl w:val="0"/>
              </w:rPr>
            </w:r>
          </w:p>
        </w:tc>
        <w:tc>
          <w:tcPr/>
          <w:p w:rsidR="00000000" w:rsidDel="00000000" w:rsidP="00000000" w:rsidRDefault="00000000" w:rsidRPr="00000000" w14:paraId="00000087">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92.17% </w:t>
            </w:r>
            <w:r w:rsidDel="00000000" w:rsidR="00000000" w:rsidRPr="00000000">
              <w:rPr>
                <w:rtl w:val="0"/>
              </w:rPr>
            </w:r>
          </w:p>
        </w:tc>
      </w:tr>
      <w:tr>
        <w:trPr>
          <w:cantSplit w:val="0"/>
          <w:trHeight w:val="376" w:hRule="atLeast"/>
          <w:tblHeader w:val="0"/>
        </w:trPr>
        <w:tc>
          <w:tcPr/>
          <w:p w:rsidR="00000000" w:rsidDel="00000000" w:rsidP="00000000" w:rsidRDefault="00000000" w:rsidRPr="00000000" w14:paraId="00000088">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C </w:t>
            </w:r>
            <w:r w:rsidDel="00000000" w:rsidR="00000000" w:rsidRPr="00000000">
              <w:rPr>
                <w:rtl w:val="0"/>
              </w:rPr>
            </w:r>
          </w:p>
        </w:tc>
        <w:tc>
          <w:tcPr/>
          <w:p w:rsidR="00000000" w:rsidDel="00000000" w:rsidP="00000000" w:rsidRDefault="00000000" w:rsidRPr="00000000" w14:paraId="00000089">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0.0025 </w:t>
            </w:r>
            <w:r w:rsidDel="00000000" w:rsidR="00000000" w:rsidRPr="00000000">
              <w:rPr>
                <w:rtl w:val="0"/>
              </w:rPr>
            </w:r>
          </w:p>
        </w:tc>
        <w:tc>
          <w:tcPr/>
          <w:p w:rsidR="00000000" w:rsidDel="00000000" w:rsidP="00000000" w:rsidRDefault="00000000" w:rsidRPr="00000000" w14:paraId="0000008A">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0.0004 </w:t>
            </w:r>
            <w:r w:rsidDel="00000000" w:rsidR="00000000" w:rsidRPr="00000000">
              <w:rPr>
                <w:rtl w:val="0"/>
              </w:rPr>
            </w:r>
          </w:p>
        </w:tc>
        <w:tc>
          <w:tcPr/>
          <w:p w:rsidR="00000000" w:rsidDel="00000000" w:rsidP="00000000" w:rsidRDefault="00000000" w:rsidRPr="00000000" w14:paraId="0000008B">
            <w:pPr>
              <w:rPr>
                <w:rFonts w:ascii="Quattrocento Sans" w:cs="Quattrocento Sans" w:eastAsia="Quattrocento Sans" w:hAnsi="Quattrocento Sans"/>
                <w:sz w:val="22"/>
                <w:szCs w:val="22"/>
              </w:rPr>
            </w:pPr>
            <w:r w:rsidDel="00000000" w:rsidR="00000000" w:rsidRPr="00000000">
              <w:rPr>
                <w:rFonts w:ascii="Calibri" w:cs="Calibri" w:eastAsia="Calibri" w:hAnsi="Calibri"/>
                <w:color w:val="000000"/>
                <w:sz w:val="22"/>
                <w:szCs w:val="22"/>
                <w:rtl w:val="0"/>
              </w:rPr>
              <w:t xml:space="preserve">83.8% </w:t>
            </w:r>
            <w:r w:rsidDel="00000000" w:rsidR="00000000" w:rsidRPr="00000000">
              <w:rPr>
                <w:rtl w:val="0"/>
              </w:rPr>
            </w:r>
          </w:p>
        </w:tc>
      </w:tr>
    </w:tbl>
    <w:p w:rsidR="00000000" w:rsidDel="00000000" w:rsidP="00000000" w:rsidRDefault="00000000" w:rsidRPr="00000000" w14:paraId="0000008C">
      <w:pPr>
        <w:rPr>
          <w:sz w:val="22"/>
          <w:szCs w:val="22"/>
        </w:rPr>
      </w:pPr>
      <w:r w:rsidDel="00000000" w:rsidR="00000000" w:rsidRPr="00000000">
        <w:rPr>
          <w:rtl w:val="0"/>
        </w:rPr>
      </w:r>
    </w:p>
    <w:p w:rsidR="00000000" w:rsidDel="00000000" w:rsidP="00000000" w:rsidRDefault="00000000" w:rsidRPr="00000000" w14:paraId="0000008D">
      <w:pPr>
        <w:rPr>
          <w:sz w:val="22"/>
          <w:szCs w:val="22"/>
        </w:rPr>
      </w:pPr>
      <w:r w:rsidDel="00000000" w:rsidR="00000000" w:rsidRPr="00000000">
        <w:rPr>
          <w:sz w:val="22"/>
          <w:szCs w:val="22"/>
          <w:rtl w:val="0"/>
        </w:rPr>
        <w:t xml:space="preserve">These results demonstrate that the disaggregation approach consistently reduced predictive bias across all projects, confirming its effectiveness as a fairness intervention.</w:t>
      </w:r>
    </w:p>
    <w:p w:rsidR="00000000" w:rsidDel="00000000" w:rsidP="00000000" w:rsidRDefault="00000000" w:rsidRPr="00000000" w14:paraId="0000008E">
      <w:pPr>
        <w:rPr>
          <w:sz w:val="22"/>
          <w:szCs w:val="22"/>
        </w:rPr>
      </w:pPr>
      <w:r w:rsidDel="00000000" w:rsidR="00000000" w:rsidRPr="00000000">
        <w:rPr>
          <w:rtl w:val="0"/>
        </w:rPr>
      </w:r>
    </w:p>
    <w:p w:rsidR="00000000" w:rsidDel="00000000" w:rsidP="00000000" w:rsidRDefault="00000000" w:rsidRPr="00000000" w14:paraId="0000008F">
      <w:pPr>
        <w:rPr>
          <w:b w:val="1"/>
          <w:bCs w:val="1"/>
          <w:sz w:val="26"/>
          <w:szCs w:val="26"/>
        </w:rPr>
      </w:pPr>
      <w:r w:rsidDel="00000000" w:rsidR="00000000" w:rsidRPr="00000000">
        <w:rPr>
          <w:b w:val="1"/>
          <w:bCs w:val="1"/>
          <w:sz w:val="26"/>
          <w:szCs w:val="26"/>
          <w:rtl w:val="0"/>
        </w:rPr>
        <w:t xml:space="preserve">4.4 Project-Specific Results and Visualisation</w:t>
      </w:r>
    </w:p>
    <w:p w:rsidR="00000000" w:rsidDel="00000000" w:rsidP="00000000" w:rsidRDefault="00000000" w:rsidRPr="00000000" w14:paraId="00000090">
      <w:pPr>
        <w:rPr>
          <w:sz w:val="2"/>
          <w:szCs w:val="2"/>
        </w:rPr>
      </w:pPr>
      <w:r w:rsidDel="00000000" w:rsidR="00000000" w:rsidRPr="00000000">
        <w:rPr>
          <w:rtl w:val="0"/>
        </w:rPr>
      </w:r>
    </w:p>
    <w:p w:rsidR="00000000" w:rsidDel="00000000" w:rsidP="00000000" w:rsidRDefault="00000000" w:rsidRPr="00000000" w14:paraId="00000091">
      <w:pPr>
        <w:rPr>
          <w:sz w:val="22"/>
          <w:szCs w:val="22"/>
        </w:rPr>
      </w:pPr>
      <w:r w:rsidDel="00000000" w:rsidR="00000000" w:rsidRPr="00000000">
        <w:rPr>
          <w:sz w:val="22"/>
          <w:szCs w:val="22"/>
          <w:rtl w:val="0"/>
        </w:rPr>
        <w:t xml:space="preserve">Each project produced a bar chart comparing unified and specialised model performance for top-tier and lower-tier teams.</w:t>
      </w:r>
    </w:p>
    <w:p w:rsidR="00000000" w:rsidDel="00000000" w:rsidP="00000000" w:rsidRDefault="00000000" w:rsidRPr="00000000" w14:paraId="00000092">
      <w:pPr>
        <w:rPr>
          <w:sz w:val="22"/>
          <w:szCs w:val="22"/>
        </w:rPr>
      </w:pPr>
      <w:r w:rsidDel="00000000" w:rsidR="00000000" w:rsidRPr="00000000">
        <w:rPr>
          <w:rtl w:val="0"/>
        </w:rPr>
      </w:r>
    </w:p>
    <w:p w:rsidR="00000000" w:rsidDel="00000000" w:rsidP="00000000" w:rsidRDefault="00000000" w:rsidRPr="00000000" w14:paraId="00000093">
      <w:pPr>
        <w:rPr>
          <w:sz w:val="22"/>
          <w:szCs w:val="22"/>
        </w:rPr>
      </w:pPr>
      <w:r w:rsidDel="00000000" w:rsidR="00000000" w:rsidRPr="00000000">
        <w:rPr>
          <w:rtl w:val="0"/>
        </w:rPr>
      </w:r>
    </w:p>
    <w:p w:rsidR="00000000" w:rsidDel="00000000" w:rsidP="00000000" w:rsidRDefault="00000000" w:rsidRPr="00000000" w14:paraId="00000094">
      <w:pPr>
        <w:rPr>
          <w:sz w:val="22"/>
          <w:szCs w:val="22"/>
        </w:rPr>
      </w:pPr>
      <w:r w:rsidDel="00000000" w:rsidR="00000000" w:rsidRPr="00000000">
        <w:rPr>
          <w:rtl w:val="0"/>
        </w:rPr>
      </w:r>
    </w:p>
    <w:p w:rsidR="00000000" w:rsidDel="00000000" w:rsidP="00000000" w:rsidRDefault="00000000" w:rsidRPr="00000000" w14:paraId="00000095">
      <w:pPr>
        <w:rPr>
          <w:sz w:val="22"/>
          <w:szCs w:val="22"/>
        </w:rPr>
      </w:pPr>
      <w:r w:rsidDel="00000000" w:rsidR="00000000" w:rsidRPr="00000000">
        <w:rPr>
          <w:rtl w:val="0"/>
        </w:rPr>
      </w:r>
    </w:p>
    <w:p w:rsidR="00000000" w:rsidDel="00000000" w:rsidP="00000000" w:rsidRDefault="00000000" w:rsidRPr="00000000" w14:paraId="00000096">
      <w:pPr>
        <w:rPr>
          <w:sz w:val="22"/>
          <w:szCs w:val="22"/>
        </w:rPr>
      </w:pPr>
      <w:r w:rsidDel="00000000" w:rsidR="00000000" w:rsidRPr="00000000">
        <w:rPr>
          <w:rtl w:val="0"/>
        </w:rPr>
      </w:r>
    </w:p>
    <w:p w:rsidR="00000000" w:rsidDel="00000000" w:rsidP="00000000" w:rsidRDefault="00000000" w:rsidRPr="00000000" w14:paraId="00000097">
      <w:pPr>
        <w:rPr>
          <w:sz w:val="22"/>
          <w:szCs w:val="22"/>
        </w:rPr>
      </w:pPr>
      <w:r w:rsidDel="00000000" w:rsidR="00000000" w:rsidRPr="00000000">
        <w:rPr>
          <w:rtl w:val="0"/>
        </w:rPr>
      </w:r>
    </w:p>
    <w:p w:rsidR="00000000" w:rsidDel="00000000" w:rsidP="00000000" w:rsidRDefault="00000000" w:rsidRPr="00000000" w14:paraId="00000098">
      <w:pPr>
        <w:rPr>
          <w:sz w:val="22"/>
          <w:szCs w:val="22"/>
        </w:rPr>
      </w:pPr>
      <w:r w:rsidDel="00000000" w:rsidR="00000000" w:rsidRPr="00000000">
        <w:rPr>
          <w:rtl w:val="0"/>
        </w:rPr>
      </w:r>
    </w:p>
    <w:p w:rsidR="00000000" w:rsidDel="00000000" w:rsidP="00000000" w:rsidRDefault="00000000" w:rsidRPr="00000000" w14:paraId="00000099">
      <w:pPr>
        <w:rPr>
          <w:sz w:val="22"/>
          <w:szCs w:val="22"/>
        </w:rPr>
      </w:pPr>
      <w:r w:rsidDel="00000000" w:rsidR="00000000" w:rsidRPr="00000000">
        <w:rPr>
          <w:rtl w:val="0"/>
        </w:rPr>
      </w:r>
    </w:p>
    <w:p w:rsidR="00000000" w:rsidDel="00000000" w:rsidP="00000000" w:rsidRDefault="00000000" w:rsidRPr="00000000" w14:paraId="0000009A">
      <w:pPr>
        <w:rPr>
          <w:sz w:val="22"/>
          <w:szCs w:val="22"/>
        </w:rPr>
      </w:pPr>
      <w:r w:rsidDel="00000000" w:rsidR="00000000" w:rsidRPr="00000000">
        <w:rPr>
          <w:rtl w:val="0"/>
        </w:rPr>
      </w:r>
    </w:p>
    <w:p w:rsidR="00000000" w:rsidDel="00000000" w:rsidP="00000000" w:rsidRDefault="00000000" w:rsidRPr="00000000" w14:paraId="0000009B">
      <w:pPr>
        <w:rPr>
          <w:sz w:val="22"/>
          <w:szCs w:val="22"/>
        </w:rPr>
      </w:pPr>
      <w:r w:rsidDel="00000000" w:rsidR="00000000" w:rsidRPr="00000000">
        <w:rPr>
          <w:rtl w:val="0"/>
        </w:rPr>
      </w:r>
    </w:p>
    <w:p w:rsidR="00000000" w:rsidDel="00000000" w:rsidP="00000000" w:rsidRDefault="00000000" w:rsidRPr="00000000" w14:paraId="0000009C">
      <w:pPr>
        <w:rPr>
          <w:sz w:val="22"/>
          <w:szCs w:val="22"/>
        </w:rPr>
      </w:pPr>
      <w:r w:rsidDel="00000000" w:rsidR="00000000" w:rsidRPr="00000000">
        <w:rPr>
          <w:rtl w:val="0"/>
        </w:rPr>
      </w:r>
    </w:p>
    <w:p w:rsidR="00000000" w:rsidDel="00000000" w:rsidP="00000000" w:rsidRDefault="00000000" w:rsidRPr="00000000" w14:paraId="0000009D">
      <w:pPr>
        <w:rPr>
          <w:sz w:val="22"/>
          <w:szCs w:val="22"/>
        </w:rPr>
      </w:pPr>
      <w:r w:rsidDel="00000000" w:rsidR="00000000" w:rsidRPr="00000000">
        <w:rPr>
          <w:rtl w:val="0"/>
        </w:rPr>
      </w:r>
    </w:p>
    <w:p w:rsidR="00000000" w:rsidDel="00000000" w:rsidP="00000000" w:rsidRDefault="00000000" w:rsidRPr="00000000" w14:paraId="0000009E">
      <w:pPr>
        <w:rPr>
          <w:sz w:val="22"/>
          <w:szCs w:val="22"/>
        </w:rPr>
      </w:pPr>
      <w:r w:rsidDel="00000000" w:rsidR="00000000" w:rsidRPr="00000000">
        <w:rPr>
          <w:rtl w:val="0"/>
        </w:rPr>
      </w:r>
    </w:p>
    <w:p w:rsidR="00000000" w:rsidDel="00000000" w:rsidP="00000000" w:rsidRDefault="00000000" w:rsidRPr="00000000" w14:paraId="0000009F">
      <w:pPr>
        <w:rPr>
          <w:sz w:val="22"/>
          <w:szCs w:val="22"/>
        </w:rPr>
      </w:pPr>
      <w:r w:rsidDel="00000000" w:rsidR="00000000" w:rsidRPr="00000000">
        <w:rPr>
          <w:rtl w:val="0"/>
        </w:rPr>
      </w:r>
    </w:p>
    <w:p w:rsidR="00000000" w:rsidDel="00000000" w:rsidP="00000000" w:rsidRDefault="00000000" w:rsidRPr="00000000" w14:paraId="000000A0">
      <w:pPr>
        <w:rPr>
          <w:sz w:val="22"/>
          <w:szCs w:val="22"/>
        </w:rPr>
      </w:pPr>
      <w:r w:rsidDel="00000000" w:rsidR="00000000" w:rsidRPr="00000000">
        <w:rPr>
          <w:rtl w:val="0"/>
        </w:rPr>
      </w:r>
    </w:p>
    <w:p w:rsidR="00000000" w:rsidDel="00000000" w:rsidP="00000000" w:rsidRDefault="00000000" w:rsidRPr="00000000" w14:paraId="000000A1">
      <w:pPr>
        <w:rPr>
          <w:sz w:val="22"/>
          <w:szCs w:val="22"/>
        </w:rPr>
      </w:pPr>
      <w:r w:rsidDel="00000000" w:rsidR="00000000" w:rsidRPr="00000000">
        <w:rPr>
          <w:rtl w:val="0"/>
        </w:rPr>
      </w:r>
    </w:p>
    <w:p w:rsidR="00000000" w:rsidDel="00000000" w:rsidP="00000000" w:rsidRDefault="00000000" w:rsidRPr="00000000" w14:paraId="000000A2">
      <w:pPr>
        <w:rPr>
          <w:sz w:val="22"/>
          <w:szCs w:val="22"/>
        </w:rPr>
      </w:pPr>
      <w:r w:rsidDel="00000000" w:rsidR="00000000" w:rsidRPr="00000000">
        <w:rPr>
          <w:rtl w:val="0"/>
        </w:rPr>
      </w:r>
    </w:p>
    <w:p w:rsidR="00000000" w:rsidDel="00000000" w:rsidP="00000000" w:rsidRDefault="00000000" w:rsidRPr="00000000" w14:paraId="000000A3">
      <w:pPr>
        <w:rPr>
          <w:b w:val="1"/>
          <w:bCs w:val="1"/>
          <w:sz w:val="22"/>
          <w:szCs w:val="22"/>
        </w:rPr>
      </w:pPr>
      <w:r w:rsidDel="00000000" w:rsidR="00000000" w:rsidRPr="00000000">
        <w:rPr>
          <w:b w:val="1"/>
          <w:bCs w:val="1"/>
          <w:rtl w:val="0"/>
        </w:rPr>
        <w:t xml:space="preserve">Project A (Iman and Partipant A)</w:t>
      </w:r>
      <w:r w:rsidDel="00000000" w:rsidR="00000000" w:rsidRPr="00000000">
        <w:rPr>
          <w:rtl w:val="0"/>
        </w:rPr>
      </w:r>
    </w:p>
    <w:p w:rsidR="00000000" w:rsidDel="00000000" w:rsidP="00000000" w:rsidRDefault="00000000" w:rsidRPr="00000000" w14:paraId="000000A4">
      <w:pPr>
        <w:rPr>
          <w:b w:val="1"/>
          <w:bCs w:val="1"/>
          <w:sz w:val="22"/>
          <w:szCs w:val="22"/>
        </w:rPr>
      </w:pPr>
      <w:r w:rsidDel="00000000" w:rsidR="00000000" w:rsidRPr="00000000">
        <w:rPr>
          <w:b w:val="1"/>
          <w:bCs w:val="1"/>
          <w:sz w:val="22"/>
          <w:szCs w:val="22"/>
          <w:rtl w:val="0"/>
        </w:rPr>
        <w:t xml:space="preserve">Figure 1: Project A Bar Chart</w:t>
      </w:r>
    </w:p>
    <w:p w:rsidR="00000000" w:rsidDel="00000000" w:rsidP="00000000" w:rsidRDefault="00000000" w:rsidRPr="00000000" w14:paraId="000000A5">
      <w:pPr>
        <w:rPr>
          <w:b w:val="1"/>
          <w:bCs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495300</wp:posOffset>
            </wp:positionH>
            <wp:positionV relativeFrom="paragraph">
              <wp:posOffset>104775</wp:posOffset>
            </wp:positionV>
            <wp:extent cx="4519613" cy="2768036"/>
            <wp:effectExtent b="0" l="0" r="0" t="0"/>
            <wp:wrapTopAndBottom distB="0" distT="0"/>
            <wp:docPr descr="A graph of different colored bars&#10;&#10;Description automatically generated with medium confidence" id="1041203831" name="image1.png"/>
            <a:graphic>
              <a:graphicData uri="http://schemas.openxmlformats.org/drawingml/2006/picture">
                <pic:pic>
                  <pic:nvPicPr>
                    <pic:cNvPr descr="A graph of different colored bars&#10;&#10;Description automatically generated with medium confidence" id="0" name="image1.png"/>
                    <pic:cNvPicPr preferRelativeResize="0"/>
                  </pic:nvPicPr>
                  <pic:blipFill>
                    <a:blip r:embed="rId7"/>
                    <a:srcRect b="0" l="0" r="0" t="5128"/>
                    <a:stretch>
                      <a:fillRect/>
                    </a:stretch>
                  </pic:blipFill>
                  <pic:spPr>
                    <a:xfrm>
                      <a:off x="0" y="0"/>
                      <a:ext cx="4519613" cy="2768036"/>
                    </a:xfrm>
                    <a:prstGeom prst="rect"/>
                    <a:ln/>
                  </pic:spPr>
                </pic:pic>
              </a:graphicData>
            </a:graphic>
          </wp:anchor>
        </w:drawing>
      </w:r>
    </w:p>
    <w:p w:rsidR="00000000" w:rsidDel="00000000" w:rsidP="00000000" w:rsidRDefault="00000000" w:rsidRPr="00000000" w14:paraId="000000A6">
      <w:pPr>
        <w:rPr>
          <w:b w:val="1"/>
          <w:bCs w:val="1"/>
          <w:sz w:val="22"/>
          <w:szCs w:val="22"/>
        </w:rPr>
      </w:pPr>
      <w:r w:rsidDel="00000000" w:rsidR="00000000" w:rsidRPr="00000000">
        <w:rPr>
          <w:sz w:val="22"/>
          <w:szCs w:val="22"/>
          <w:rtl w:val="0"/>
        </w:rPr>
        <w:t xml:space="preserve">Figure 1 shows a modest bias reduction after disaggregation, likely due to smaller group sizes.</w:t>
      </w:r>
      <w:r w:rsidDel="00000000" w:rsidR="00000000" w:rsidRPr="00000000">
        <w:rPr>
          <w:rtl w:val="0"/>
        </w:rPr>
      </w:r>
    </w:p>
    <w:p w:rsidR="00000000" w:rsidDel="00000000" w:rsidP="00000000" w:rsidRDefault="00000000" w:rsidRPr="00000000" w14:paraId="000000A7">
      <w:pPr>
        <w:rPr>
          <w:b w:val="1"/>
          <w:bCs w:val="1"/>
          <w:sz w:val="22"/>
          <w:szCs w:val="22"/>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b w:val="1"/>
          <w:bCs w:val="1"/>
          <w:rtl w:val="0"/>
        </w:rPr>
        <w:t xml:space="preserve">Project B (Salma and Momena)</w:t>
      </w:r>
    </w:p>
    <w:p w:rsidR="00000000" w:rsidDel="00000000" w:rsidP="00000000" w:rsidRDefault="00000000" w:rsidRPr="00000000" w14:paraId="000000A9">
      <w:pPr>
        <w:rPr>
          <w:b w:val="1"/>
          <w:bCs w:val="1"/>
          <w:sz w:val="2"/>
          <w:szCs w:val="2"/>
        </w:rPr>
      </w:pPr>
      <w:r w:rsidDel="00000000" w:rsidR="00000000" w:rsidRPr="00000000">
        <w:rPr>
          <w:rtl w:val="0"/>
        </w:rPr>
      </w:r>
    </w:p>
    <w:p w:rsidR="00000000" w:rsidDel="00000000" w:rsidP="00000000" w:rsidRDefault="00000000" w:rsidRPr="00000000" w14:paraId="000000AA">
      <w:pPr>
        <w:rPr>
          <w:b w:val="1"/>
          <w:bCs w:val="1"/>
          <w:sz w:val="22"/>
          <w:szCs w:val="22"/>
        </w:rPr>
      </w:pPr>
      <w:r w:rsidDel="00000000" w:rsidR="00000000" w:rsidRPr="00000000">
        <w:rPr>
          <w:b w:val="1"/>
          <w:bCs w:val="1"/>
          <w:sz w:val="22"/>
          <w:szCs w:val="22"/>
          <w:rtl w:val="0"/>
        </w:rPr>
        <w:t xml:space="preserve">Figure 2: Project B Bar Chart</w:t>
      </w:r>
      <w:r w:rsidDel="00000000" w:rsidR="00000000" w:rsidRPr="00000000">
        <w:drawing>
          <wp:anchor allowOverlap="1" behindDoc="0" distB="0" distT="0" distL="114300" distR="114300" hidden="0" layoutInCell="1" locked="0" relativeHeight="0" simplePos="0">
            <wp:simplePos x="0" y="0"/>
            <wp:positionH relativeFrom="column">
              <wp:posOffset>395288</wp:posOffset>
            </wp:positionH>
            <wp:positionV relativeFrom="paragraph">
              <wp:posOffset>200025</wp:posOffset>
            </wp:positionV>
            <wp:extent cx="4727777" cy="2771775"/>
            <wp:effectExtent b="0" l="0" r="0" t="0"/>
            <wp:wrapTopAndBottom distB="0" distT="0"/>
            <wp:docPr descr="A graph of different colored squares&#10;&#10;Description automatically generated with medium confidence" id="1041203832" name="image3.png"/>
            <a:graphic>
              <a:graphicData uri="http://schemas.openxmlformats.org/drawingml/2006/picture">
                <pic:pic>
                  <pic:nvPicPr>
                    <pic:cNvPr descr="A graph of different colored squares&#10;&#10;Description automatically generated with medium confidence" id="0" name="image3.png"/>
                    <pic:cNvPicPr preferRelativeResize="0"/>
                  </pic:nvPicPr>
                  <pic:blipFill>
                    <a:blip r:embed="rId8"/>
                    <a:srcRect b="0" l="0" r="0" t="5387"/>
                    <a:stretch>
                      <a:fillRect/>
                    </a:stretch>
                  </pic:blipFill>
                  <pic:spPr>
                    <a:xfrm>
                      <a:off x="0" y="0"/>
                      <a:ext cx="4727777" cy="2771775"/>
                    </a:xfrm>
                    <a:prstGeom prst="rect"/>
                    <a:ln/>
                  </pic:spPr>
                </pic:pic>
              </a:graphicData>
            </a:graphic>
          </wp:anchor>
        </w:drawing>
      </w:r>
    </w:p>
    <w:p w:rsidR="00000000" w:rsidDel="00000000" w:rsidP="00000000" w:rsidRDefault="00000000" w:rsidRPr="00000000" w14:paraId="000000AB">
      <w:pPr>
        <w:rPr>
          <w:sz w:val="22"/>
          <w:szCs w:val="22"/>
        </w:rPr>
      </w:pPr>
      <w:r w:rsidDel="00000000" w:rsidR="00000000" w:rsidRPr="00000000">
        <w:rPr>
          <w:sz w:val="22"/>
          <w:szCs w:val="22"/>
          <w:rtl w:val="0"/>
        </w:rPr>
        <w:t xml:space="preserve">Figure 2 demonstrates that the unified model is biased toward top-tier teams (MAE 0.032 vs 0.035). The specialised model reduces this bias by equalising error (0.036), yet accuracy for lower-tier teams marginally worsens.</w:t>
      </w:r>
    </w:p>
    <w:p w:rsidR="00000000" w:rsidDel="00000000" w:rsidP="00000000" w:rsidRDefault="00000000" w:rsidRPr="00000000" w14:paraId="000000AC">
      <w:pPr>
        <w:rPr>
          <w:sz w:val="22"/>
          <w:szCs w:val="22"/>
        </w:rPr>
      </w:pPr>
      <w:r w:rsidDel="00000000" w:rsidR="00000000" w:rsidRPr="00000000">
        <w:rPr>
          <w:rtl w:val="0"/>
        </w:rPr>
      </w:r>
    </w:p>
    <w:p w:rsidR="00000000" w:rsidDel="00000000" w:rsidP="00000000" w:rsidRDefault="00000000" w:rsidRPr="00000000" w14:paraId="000000AD">
      <w:pPr>
        <w:rPr>
          <w:sz w:val="22"/>
          <w:szCs w:val="22"/>
        </w:rPr>
      </w:pPr>
      <w:r w:rsidDel="00000000" w:rsidR="00000000" w:rsidRPr="00000000">
        <w:rPr>
          <w:rtl w:val="0"/>
        </w:rPr>
      </w:r>
    </w:p>
    <w:p w:rsidR="00000000" w:rsidDel="00000000" w:rsidP="00000000" w:rsidRDefault="00000000" w:rsidRPr="00000000" w14:paraId="000000AE">
      <w:pPr>
        <w:rPr>
          <w:sz w:val="22"/>
          <w:szCs w:val="22"/>
        </w:rPr>
      </w:pPr>
      <w:r w:rsidDel="00000000" w:rsidR="00000000" w:rsidRPr="00000000">
        <w:rPr>
          <w:rtl w:val="0"/>
        </w:rPr>
      </w:r>
    </w:p>
    <w:p w:rsidR="00000000" w:rsidDel="00000000" w:rsidP="00000000" w:rsidRDefault="00000000" w:rsidRPr="00000000" w14:paraId="000000AF">
      <w:pPr>
        <w:rPr>
          <w:sz w:val="22"/>
          <w:szCs w:val="22"/>
        </w:rPr>
      </w:pPr>
      <w:r w:rsidDel="00000000" w:rsidR="00000000" w:rsidRPr="00000000">
        <w:rPr>
          <w:rtl w:val="0"/>
        </w:rPr>
      </w:r>
    </w:p>
    <w:p w:rsidR="00000000" w:rsidDel="00000000" w:rsidP="00000000" w:rsidRDefault="00000000" w:rsidRPr="00000000" w14:paraId="000000B0">
      <w:pPr>
        <w:rPr>
          <w:sz w:val="22"/>
          <w:szCs w:val="22"/>
        </w:rPr>
      </w:pPr>
      <w:r w:rsidDel="00000000" w:rsidR="00000000" w:rsidRPr="00000000">
        <w:rPr>
          <w:rtl w:val="0"/>
        </w:rPr>
      </w:r>
    </w:p>
    <w:p w:rsidR="00000000" w:rsidDel="00000000" w:rsidP="00000000" w:rsidRDefault="00000000" w:rsidRPr="00000000" w14:paraId="000000B1">
      <w:pPr>
        <w:rPr>
          <w:sz w:val="22"/>
          <w:szCs w:val="22"/>
        </w:rPr>
      </w:pPr>
      <w:r w:rsidDel="00000000" w:rsidR="00000000" w:rsidRPr="00000000">
        <w:rPr>
          <w:rtl w:val="0"/>
        </w:rPr>
      </w:r>
    </w:p>
    <w:p w:rsidR="00000000" w:rsidDel="00000000" w:rsidP="00000000" w:rsidRDefault="00000000" w:rsidRPr="00000000" w14:paraId="000000B2">
      <w:pPr>
        <w:rPr>
          <w:sz w:val="22"/>
          <w:szCs w:val="22"/>
        </w:rPr>
      </w:pPr>
      <w:r w:rsidDel="00000000" w:rsidR="00000000" w:rsidRPr="00000000">
        <w:rPr>
          <w:rtl w:val="0"/>
        </w:rPr>
      </w:r>
    </w:p>
    <w:p w:rsidR="00000000" w:rsidDel="00000000" w:rsidP="00000000" w:rsidRDefault="00000000" w:rsidRPr="00000000" w14:paraId="000000B3">
      <w:pPr>
        <w:rPr>
          <w:sz w:val="22"/>
          <w:szCs w:val="22"/>
        </w:rPr>
      </w:pPr>
      <w:r w:rsidDel="00000000" w:rsidR="00000000" w:rsidRPr="00000000">
        <w:rPr>
          <w:rtl w:val="0"/>
        </w:rPr>
      </w:r>
    </w:p>
    <w:p w:rsidR="00000000" w:rsidDel="00000000" w:rsidP="00000000" w:rsidRDefault="00000000" w:rsidRPr="00000000" w14:paraId="000000B4">
      <w:pPr>
        <w:rPr>
          <w:b w:val="1"/>
          <w:bCs w:val="1"/>
        </w:rPr>
      </w:pPr>
      <w:r w:rsidDel="00000000" w:rsidR="00000000" w:rsidRPr="00000000">
        <w:rPr>
          <w:b w:val="1"/>
          <w:bCs w:val="1"/>
          <w:rtl w:val="0"/>
        </w:rPr>
        <w:t xml:space="preserve">Project C (Neha)</w:t>
      </w:r>
    </w:p>
    <w:p w:rsidR="00000000" w:rsidDel="00000000" w:rsidP="00000000" w:rsidRDefault="00000000" w:rsidRPr="00000000" w14:paraId="000000B5">
      <w:pPr>
        <w:rPr>
          <w:b w:val="1"/>
          <w:bCs w:val="1"/>
          <w:sz w:val="2"/>
          <w:szCs w:val="2"/>
        </w:rPr>
      </w:pPr>
      <w:r w:rsidDel="00000000" w:rsidR="00000000" w:rsidRPr="00000000">
        <w:rPr>
          <w:rtl w:val="0"/>
        </w:rPr>
      </w:r>
    </w:p>
    <w:p w:rsidR="00000000" w:rsidDel="00000000" w:rsidP="00000000" w:rsidRDefault="00000000" w:rsidRPr="00000000" w14:paraId="000000B6">
      <w:pPr>
        <w:rPr>
          <w:b w:val="1"/>
          <w:bCs w:val="1"/>
          <w:sz w:val="22"/>
          <w:szCs w:val="22"/>
        </w:rPr>
      </w:pPr>
      <w:r w:rsidDel="00000000" w:rsidR="00000000" w:rsidRPr="00000000">
        <w:rPr>
          <w:b w:val="1"/>
          <w:bCs w:val="1"/>
          <w:sz w:val="22"/>
          <w:szCs w:val="22"/>
          <w:rtl w:val="0"/>
        </w:rPr>
        <w:t xml:space="preserve">Figure 3: Project C Bar Chart</w:t>
      </w:r>
    </w:p>
    <w:p w:rsidR="00000000" w:rsidDel="00000000" w:rsidP="00000000" w:rsidRDefault="00000000" w:rsidRPr="00000000" w14:paraId="000000B7">
      <w:pPr>
        <w:rPr>
          <w:sz w:val="22"/>
          <w:szCs w:val="22"/>
        </w:rPr>
      </w:pPr>
      <w:r w:rsidDel="00000000" w:rsidR="00000000" w:rsidRPr="00000000">
        <w:rPr>
          <w:sz w:val="22"/>
          <w:szCs w:val="22"/>
          <w:rtl w:val="0"/>
        </w:rPr>
        <w:t xml:space="preserve">Figure 3 shows near-equal MAE values after disaggregation, indicating achieved predictive parity despite a modest increase in overall error.</w:t>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133350</wp:posOffset>
            </wp:positionV>
            <wp:extent cx="5016731" cy="2853382"/>
            <wp:effectExtent b="0" l="0" r="0" t="0"/>
            <wp:wrapTopAndBottom distB="114300" distT="114300"/>
            <wp:docPr id="1041203833" name="image2.png"/>
            <a:graphic>
              <a:graphicData uri="http://schemas.openxmlformats.org/drawingml/2006/picture">
                <pic:pic>
                  <pic:nvPicPr>
                    <pic:cNvPr id="0" name="image2.png"/>
                    <pic:cNvPicPr preferRelativeResize="0"/>
                  </pic:nvPicPr>
                  <pic:blipFill>
                    <a:blip r:embed="rId9"/>
                    <a:srcRect b="0" l="0" r="0" t="4726"/>
                    <a:stretch>
                      <a:fillRect/>
                    </a:stretch>
                  </pic:blipFill>
                  <pic:spPr>
                    <a:xfrm>
                      <a:off x="0" y="0"/>
                      <a:ext cx="5016731" cy="2853382"/>
                    </a:xfrm>
                    <a:prstGeom prst="rect"/>
                    <a:ln/>
                  </pic:spPr>
                </pic:pic>
              </a:graphicData>
            </a:graphic>
          </wp:anchor>
        </w:drawing>
      </w:r>
    </w:p>
    <w:p w:rsidR="00000000" w:rsidDel="00000000" w:rsidP="00000000" w:rsidRDefault="00000000" w:rsidRPr="00000000" w14:paraId="000000B8">
      <w:pPr>
        <w:rPr>
          <w:b w:val="1"/>
          <w:bCs w:val="1"/>
          <w:sz w:val="22"/>
          <w:szCs w:val="22"/>
        </w:rPr>
      </w:pPr>
      <w:r w:rsidDel="00000000" w:rsidR="00000000" w:rsidRPr="00000000">
        <w:rPr>
          <w:rtl w:val="0"/>
        </w:rPr>
      </w:r>
    </w:p>
    <w:p w:rsidR="00000000" w:rsidDel="00000000" w:rsidP="00000000" w:rsidRDefault="00000000" w:rsidRPr="00000000" w14:paraId="000000B9">
      <w:pPr>
        <w:rPr>
          <w:sz w:val="26"/>
          <w:szCs w:val="26"/>
        </w:rPr>
      </w:pPr>
      <w:r w:rsidDel="00000000" w:rsidR="00000000" w:rsidRPr="00000000">
        <w:rPr>
          <w:b w:val="1"/>
          <w:bCs w:val="1"/>
          <w:sz w:val="26"/>
          <w:szCs w:val="26"/>
          <w:rtl w:val="0"/>
        </w:rPr>
        <w:t xml:space="preserve">4.5 Cross-Project Comparison</w:t>
      </w:r>
      <w:r w:rsidDel="00000000" w:rsidR="00000000" w:rsidRPr="00000000">
        <w:rPr>
          <w:rtl w:val="0"/>
        </w:rPr>
      </w:r>
    </w:p>
    <w:p w:rsidR="00000000" w:rsidDel="00000000" w:rsidP="00000000" w:rsidRDefault="00000000" w:rsidRPr="00000000" w14:paraId="000000BA">
      <w:pPr>
        <w:rPr>
          <w:sz w:val="2"/>
          <w:szCs w:val="2"/>
        </w:rPr>
      </w:pPr>
      <w:r w:rsidDel="00000000" w:rsidR="00000000" w:rsidRPr="00000000">
        <w:rPr>
          <w:rtl w:val="0"/>
        </w:rPr>
      </w:r>
    </w:p>
    <w:p w:rsidR="00000000" w:rsidDel="00000000" w:rsidP="00000000" w:rsidRDefault="00000000" w:rsidRPr="00000000" w14:paraId="000000BB">
      <w:pPr>
        <w:rPr>
          <w:sz w:val="22"/>
          <w:szCs w:val="22"/>
        </w:rPr>
      </w:pPr>
      <w:r w:rsidDel="00000000" w:rsidR="00000000" w:rsidRPr="00000000">
        <w:rPr>
          <w:sz w:val="22"/>
          <w:szCs w:val="22"/>
          <w:rtl w:val="0"/>
        </w:rPr>
        <w:t xml:space="preserve">Across all projects, unified models disadvantaged lower-tier teams, while disaggregated models consistently reduced bias.</w:t>
      </w:r>
    </w:p>
    <w:p w:rsidR="00000000" w:rsidDel="00000000" w:rsidP="00000000" w:rsidRDefault="00000000" w:rsidRPr="00000000" w14:paraId="000000BC">
      <w:pPr>
        <w:rPr>
          <w:sz w:val="30"/>
          <w:szCs w:val="30"/>
        </w:rPr>
      </w:pPr>
      <w:r w:rsidDel="00000000" w:rsidR="00000000" w:rsidRPr="00000000">
        <w:rPr>
          <w:rtl w:val="0"/>
        </w:rPr>
      </w:r>
    </w:p>
    <w:p w:rsidR="00000000" w:rsidDel="00000000" w:rsidP="00000000" w:rsidRDefault="00000000" w:rsidRPr="00000000" w14:paraId="000000BD">
      <w:pPr>
        <w:rPr>
          <w:b w:val="1"/>
          <w:bCs w:val="1"/>
          <w:sz w:val="30"/>
          <w:szCs w:val="30"/>
          <w:u w:val="single"/>
        </w:rPr>
      </w:pPr>
      <w:r w:rsidDel="00000000" w:rsidR="00000000" w:rsidRPr="00000000">
        <w:rPr>
          <w:b w:val="1"/>
          <w:bCs w:val="1"/>
          <w:sz w:val="30"/>
          <w:szCs w:val="30"/>
          <w:u w:val="single"/>
          <w:rtl w:val="0"/>
        </w:rPr>
        <w:t xml:space="preserve">5 Conclusion</w:t>
      </w:r>
    </w:p>
    <w:p w:rsidR="00000000" w:rsidDel="00000000" w:rsidP="00000000" w:rsidRDefault="00000000" w:rsidRPr="00000000" w14:paraId="000000BE">
      <w:pPr>
        <w:rPr>
          <w:b w:val="1"/>
          <w:bCs w:val="1"/>
          <w:sz w:val="2"/>
          <w:szCs w:val="2"/>
        </w:rPr>
      </w:pPr>
      <w:r w:rsidDel="00000000" w:rsidR="00000000" w:rsidRPr="00000000">
        <w:rPr>
          <w:rtl w:val="0"/>
        </w:rPr>
      </w:r>
    </w:p>
    <w:p w:rsidR="00000000" w:rsidDel="00000000" w:rsidP="00000000" w:rsidRDefault="00000000" w:rsidRPr="00000000" w14:paraId="000000BF">
      <w:pPr>
        <w:rPr>
          <w:sz w:val="22"/>
          <w:szCs w:val="22"/>
        </w:rPr>
      </w:pPr>
      <w:r w:rsidDel="00000000" w:rsidR="00000000" w:rsidRPr="00000000">
        <w:rPr>
          <w:sz w:val="22"/>
          <w:szCs w:val="22"/>
          <w:rtl w:val="0"/>
        </w:rPr>
        <w:t xml:space="preserve">This study examined whether predictive bias arising from structural inequalities in Formula 1 data could be mitigated using disaggregation-based machine learning. Using Mean Absolute Error as a fairness metric, the results support the hypothesis that specialised models trained on disaggregated team-category data reduce predictive disparity between top-tier and lower-tier teams. Across the three projects, MAE differentials were reduced by 65.3%-92.17%, demonstrating that disaggregation is an effective and robust bias mitigation strategy, even when overall prediction accuracy does not improve. </w:t>
      </w:r>
    </w:p>
    <w:p w:rsidR="00000000" w:rsidDel="00000000" w:rsidP="00000000" w:rsidRDefault="00000000" w:rsidRPr="00000000" w14:paraId="000000C0">
      <w:pPr>
        <w:rPr>
          <w:sz w:val="22"/>
          <w:szCs w:val="22"/>
        </w:rPr>
      </w:pPr>
      <w:r w:rsidDel="00000000" w:rsidR="00000000" w:rsidRPr="00000000">
        <w:rPr>
          <w:rtl w:val="0"/>
        </w:rPr>
      </w:r>
    </w:p>
    <w:p w:rsidR="00000000" w:rsidDel="00000000" w:rsidP="00000000" w:rsidRDefault="00000000" w:rsidRPr="00000000" w14:paraId="000000C1">
      <w:pPr>
        <w:rPr>
          <w:sz w:val="22"/>
          <w:szCs w:val="22"/>
        </w:rPr>
      </w:pPr>
      <w:r w:rsidDel="00000000" w:rsidR="00000000" w:rsidRPr="00000000">
        <w:rPr>
          <w:sz w:val="22"/>
          <w:szCs w:val="22"/>
          <w:rtl w:val="0"/>
        </w:rPr>
        <w:t xml:space="preserve">Each project contributed complementary insights: Project A analysed directional bias to improve interpretability of over- and underestimation across team tiers; Project B applied a stricter definition of top-tier teams, producing a larger baseline bias and a more pronounced reduction after mitigation; and Project C maintained a strict separation between bias diagnosis and mitigation, strengthening methodological clarity and causal interpretation.</w:t>
      </w:r>
    </w:p>
    <w:p w:rsidR="00000000" w:rsidDel="00000000" w:rsidP="00000000" w:rsidRDefault="00000000" w:rsidRPr="00000000" w14:paraId="000000C2">
      <w:pPr>
        <w:rPr>
          <w:sz w:val="22"/>
          <w:szCs w:val="22"/>
        </w:rPr>
      </w:pPr>
      <w:r w:rsidDel="00000000" w:rsidR="00000000" w:rsidRPr="00000000">
        <w:rPr>
          <w:rtl w:val="0"/>
        </w:rPr>
      </w:r>
    </w:p>
    <w:p w:rsidR="00000000" w:rsidDel="00000000" w:rsidP="00000000" w:rsidRDefault="00000000" w:rsidRPr="00000000" w14:paraId="000000C3">
      <w:pPr>
        <w:rPr>
          <w:sz w:val="22"/>
          <w:szCs w:val="22"/>
        </w:rPr>
      </w:pPr>
      <w:r w:rsidDel="00000000" w:rsidR="00000000" w:rsidRPr="00000000">
        <w:rPr>
          <w:sz w:val="22"/>
          <w:szCs w:val="22"/>
          <w:rtl w:val="0"/>
        </w:rPr>
        <w:t xml:space="preserve">From an ethical and professional perspective, this work aligns with responsible AI principles by addressing systematic performance disparities. The observed bias reduction supports compliance with emerging AI fairness regulations, such as the EU AI </w:t>
      </w:r>
      <w:r w:rsidDel="00000000" w:rsidR="00000000" w:rsidRPr="00000000">
        <w:rPr>
          <w:sz w:val="22"/>
          <w:szCs w:val="22"/>
          <w:rtl w:val="0"/>
        </w:rPr>
        <w:t xml:space="preserve">Act</w:t>
      </w:r>
      <w:r w:rsidDel="00000000" w:rsidR="00000000" w:rsidRPr="00000000">
        <w:rPr>
          <w:sz w:val="22"/>
          <w:szCs w:val="22"/>
          <w:vertAlign w:val="superscript"/>
          <w:rtl w:val="0"/>
        </w:rPr>
        <w:t xml:space="preserve">8</w:t>
      </w:r>
      <w:r w:rsidDel="00000000" w:rsidR="00000000" w:rsidRPr="00000000">
        <w:rPr>
          <w:sz w:val="22"/>
          <w:szCs w:val="22"/>
          <w:rtl w:val="0"/>
        </w:rPr>
        <w:t xml:space="preserve">, and aligns with IEEE and ACM professional standards. By prioritising fairness alongside technical performance, the approach promotes trust among teams, sponsors, and fans</w:t>
      </w:r>
      <w:r w:rsidDel="00000000" w:rsidR="00000000" w:rsidRPr="00000000">
        <w:rPr>
          <w:sz w:val="22"/>
          <w:szCs w:val="22"/>
          <w:vertAlign w:val="superscript"/>
          <w:rtl w:val="0"/>
        </w:rPr>
        <w:t xml:space="preserve">9 10</w:t>
      </w:r>
      <w:r w:rsidDel="00000000" w:rsidR="00000000" w:rsidRPr="00000000">
        <w:rPr>
          <w:sz w:val="22"/>
          <w:szCs w:val="22"/>
          <w:rtl w:val="0"/>
        </w:rPr>
        <w:t xml:space="preserve">. Future work could extend this methodology to other motorsports, such as MotoGP or the World Rally.</w:t>
      </w:r>
    </w:p>
    <w:p w:rsidR="00000000" w:rsidDel="00000000" w:rsidP="00000000" w:rsidRDefault="00000000" w:rsidRPr="00000000" w14:paraId="000000C4">
      <w:pPr>
        <w:rPr>
          <w:sz w:val="22"/>
          <w:szCs w:val="22"/>
        </w:rPr>
      </w:pPr>
      <w:r w:rsidDel="00000000" w:rsidR="00000000" w:rsidRPr="00000000">
        <w:rPr>
          <w:sz w:val="22"/>
          <w:szCs w:val="22"/>
          <w:rtl w:val="0"/>
        </w:rPr>
        <w:t xml:space="preserve">Championship, and explore longer historical datasets or ensemble models to further improve accuracy while maintaining fairness.</w:t>
      </w:r>
    </w:p>
    <w:p w:rsidR="00000000" w:rsidDel="00000000" w:rsidP="00000000" w:rsidRDefault="00000000" w:rsidRPr="00000000" w14:paraId="000000C5">
      <w:pPr>
        <w:rPr>
          <w:sz w:val="22"/>
          <w:szCs w:val="22"/>
        </w:rPr>
      </w:pPr>
      <w:r w:rsidDel="00000000" w:rsidR="00000000" w:rsidRPr="00000000">
        <w:rPr>
          <w:rtl w:val="0"/>
        </w:rPr>
      </w:r>
    </w:p>
    <w:p w:rsidR="00000000" w:rsidDel="00000000" w:rsidP="00000000" w:rsidRDefault="00000000" w:rsidRPr="00000000" w14:paraId="000000C6">
      <w:pPr>
        <w:rPr>
          <w:sz w:val="22"/>
          <w:szCs w:val="22"/>
        </w:rPr>
      </w:pPr>
      <w:r w:rsidDel="00000000" w:rsidR="00000000" w:rsidRPr="00000000">
        <w:rPr>
          <w:rtl w:val="0"/>
        </w:rPr>
      </w:r>
    </w:p>
    <w:p w:rsidR="00000000" w:rsidDel="00000000" w:rsidP="00000000" w:rsidRDefault="00000000" w:rsidRPr="00000000" w14:paraId="000000C7">
      <w:pPr>
        <w:rPr>
          <w:sz w:val="22"/>
          <w:szCs w:val="22"/>
        </w:rPr>
      </w:pPr>
      <w:r w:rsidDel="00000000" w:rsidR="00000000" w:rsidRPr="00000000">
        <w:rPr>
          <w:rtl w:val="0"/>
        </w:rPr>
      </w:r>
    </w:p>
    <w:p w:rsidR="00000000" w:rsidDel="00000000" w:rsidP="00000000" w:rsidRDefault="00000000" w:rsidRPr="00000000" w14:paraId="000000C8">
      <w:pPr>
        <w:rPr>
          <w:sz w:val="30"/>
          <w:szCs w:val="30"/>
          <w:u w:val="single"/>
        </w:rPr>
      </w:pPr>
      <w:r w:rsidDel="00000000" w:rsidR="00000000" w:rsidRPr="00000000">
        <w:rPr>
          <w:b w:val="1"/>
          <w:bCs w:val="1"/>
          <w:sz w:val="30"/>
          <w:szCs w:val="30"/>
          <w:u w:val="single"/>
          <w:rtl w:val="0"/>
        </w:rPr>
        <w:t xml:space="preserve">References </w:t>
      </w:r>
      <w:r w:rsidDel="00000000" w:rsidR="00000000" w:rsidRPr="00000000">
        <w:rPr>
          <w:rtl w:val="0"/>
        </w:rPr>
      </w:r>
    </w:p>
    <w:p w:rsidR="00000000" w:rsidDel="00000000" w:rsidP="00000000" w:rsidRDefault="00000000" w:rsidRPr="00000000" w14:paraId="000000C9">
      <w:pPr>
        <w:rPr>
          <w:b w:val="1"/>
          <w:bCs w:val="1"/>
          <w:sz w:val="2"/>
          <w:szCs w:val="2"/>
        </w:rPr>
      </w:pPr>
      <w:r w:rsidDel="00000000" w:rsidR="00000000" w:rsidRPr="00000000">
        <w:rPr>
          <w:rtl w:val="0"/>
        </w:rPr>
      </w:r>
    </w:p>
    <w:p w:rsidR="00000000" w:rsidDel="00000000" w:rsidP="00000000" w:rsidRDefault="00000000" w:rsidRPr="00000000" w14:paraId="000000CA">
      <w:pPr>
        <w:numPr>
          <w:ilvl w:val="0"/>
          <w:numId w:val="1"/>
        </w:numPr>
        <w:spacing w:after="240" w:before="240" w:lineRule="auto"/>
        <w:ind w:left="720" w:hanging="360"/>
        <w:rPr>
          <w:sz w:val="22"/>
          <w:szCs w:val="22"/>
        </w:rPr>
      </w:pPr>
      <w:r w:rsidDel="00000000" w:rsidR="00000000" w:rsidRPr="00000000">
        <w:rPr>
          <w:sz w:val="22"/>
          <w:szCs w:val="22"/>
          <w:rtl w:val="0"/>
        </w:rPr>
        <w:t xml:space="preserve">GoToTheGrid (2025) </w:t>
      </w:r>
      <w:r w:rsidDel="00000000" w:rsidR="00000000" w:rsidRPr="00000000">
        <w:rPr>
          <w:i w:val="1"/>
          <w:iCs w:val="1"/>
          <w:sz w:val="22"/>
          <w:szCs w:val="22"/>
          <w:rtl w:val="0"/>
        </w:rPr>
        <w:t xml:space="preserve">The truth behind F1’s budget cap</w:t>
      </w:r>
      <w:r w:rsidDel="00000000" w:rsidR="00000000" w:rsidRPr="00000000">
        <w:rPr>
          <w:sz w:val="22"/>
          <w:szCs w:val="22"/>
          <w:rtl w:val="0"/>
        </w:rPr>
        <w:t xml:space="preserve">. Available at:</w:t>
      </w:r>
      <w:hyperlink r:id="rId10">
        <w:r w:rsidDel="00000000" w:rsidR="00000000" w:rsidRPr="00000000">
          <w:rPr>
            <w:sz w:val="22"/>
            <w:szCs w:val="22"/>
            <w:rtl w:val="0"/>
          </w:rPr>
          <w:t xml:space="preserve"> </w:t>
        </w:r>
      </w:hyperlink>
      <w:hyperlink r:id="rId11">
        <w:r w:rsidDel="00000000" w:rsidR="00000000" w:rsidRPr="00000000">
          <w:rPr>
            <w:color w:val="1155cc"/>
            <w:sz w:val="22"/>
            <w:szCs w:val="22"/>
            <w:u w:val="single"/>
            <w:rtl w:val="0"/>
          </w:rPr>
          <w:t xml:space="preserve">https://www.gotothegrid.com/en/blog/the-truth-behind-f1s-budget-cap</w:t>
        </w:r>
      </w:hyperlink>
      <w:r w:rsidDel="00000000" w:rsidR="00000000" w:rsidRPr="00000000">
        <w:rPr>
          <w:sz w:val="22"/>
          <w:szCs w:val="22"/>
          <w:rtl w:val="0"/>
        </w:rPr>
        <w:t xml:space="preserve"> (Accessed: 12 December 2025).</w:t>
      </w:r>
    </w:p>
    <w:p w:rsidR="00000000" w:rsidDel="00000000" w:rsidP="00000000" w:rsidRDefault="00000000" w:rsidRPr="00000000" w14:paraId="000000CB">
      <w:pPr>
        <w:numPr>
          <w:ilvl w:val="0"/>
          <w:numId w:val="1"/>
        </w:numPr>
        <w:spacing w:after="240" w:before="240" w:lineRule="auto"/>
        <w:ind w:left="720" w:hanging="360"/>
        <w:rPr>
          <w:sz w:val="22"/>
          <w:szCs w:val="22"/>
        </w:rPr>
      </w:pPr>
      <w:r w:rsidDel="00000000" w:rsidR="00000000" w:rsidRPr="00000000">
        <w:rPr>
          <w:sz w:val="22"/>
          <w:szCs w:val="22"/>
          <w:rtl w:val="0"/>
        </w:rPr>
        <w:t xml:space="preserve">ScienceDirect (n.d.) </w:t>
      </w:r>
      <w:r w:rsidDel="00000000" w:rsidR="00000000" w:rsidRPr="00000000">
        <w:rPr>
          <w:i w:val="1"/>
          <w:iCs w:val="1"/>
          <w:sz w:val="22"/>
          <w:szCs w:val="22"/>
          <w:rtl w:val="0"/>
        </w:rPr>
        <w:t xml:space="preserve">Mean absolute error</w:t>
      </w:r>
      <w:r w:rsidDel="00000000" w:rsidR="00000000" w:rsidRPr="00000000">
        <w:rPr>
          <w:sz w:val="22"/>
          <w:szCs w:val="22"/>
          <w:rtl w:val="0"/>
        </w:rPr>
        <w:t xml:space="preserve">. Available at:</w:t>
      </w:r>
      <w:hyperlink r:id="rId12">
        <w:r w:rsidDel="00000000" w:rsidR="00000000" w:rsidRPr="00000000">
          <w:rPr>
            <w:sz w:val="22"/>
            <w:szCs w:val="22"/>
            <w:rtl w:val="0"/>
          </w:rPr>
          <w:t xml:space="preserve"> </w:t>
        </w:r>
      </w:hyperlink>
      <w:hyperlink r:id="rId13">
        <w:r w:rsidDel="00000000" w:rsidR="00000000" w:rsidRPr="00000000">
          <w:rPr>
            <w:color w:val="1155cc"/>
            <w:sz w:val="22"/>
            <w:szCs w:val="22"/>
            <w:u w:val="single"/>
            <w:rtl w:val="0"/>
          </w:rPr>
          <w:t xml:space="preserve">https://www.sciencedirect.com/topics/engineering/mean-absolute-error</w:t>
        </w:r>
      </w:hyperlink>
      <w:r w:rsidDel="00000000" w:rsidR="00000000" w:rsidRPr="00000000">
        <w:rPr>
          <w:sz w:val="22"/>
          <w:szCs w:val="22"/>
          <w:rtl w:val="0"/>
        </w:rPr>
        <w:t xml:space="preserve"> (Accessed: 17 December 2025).</w:t>
      </w:r>
    </w:p>
    <w:p w:rsidR="00000000" w:rsidDel="00000000" w:rsidP="00000000" w:rsidRDefault="00000000" w:rsidRPr="00000000" w14:paraId="000000CC">
      <w:pPr>
        <w:numPr>
          <w:ilvl w:val="0"/>
          <w:numId w:val="1"/>
        </w:numPr>
        <w:spacing w:after="240" w:before="240" w:lineRule="auto"/>
        <w:ind w:left="720" w:hanging="360"/>
        <w:rPr>
          <w:sz w:val="22"/>
          <w:szCs w:val="22"/>
        </w:rPr>
      </w:pPr>
      <w:r w:rsidDel="00000000" w:rsidR="00000000" w:rsidRPr="00000000">
        <w:rPr>
          <w:sz w:val="22"/>
          <w:szCs w:val="22"/>
          <w:rtl w:val="0"/>
        </w:rPr>
        <w:t xml:space="preserve">Burch, D. (2023) </w:t>
      </w:r>
      <w:r w:rsidDel="00000000" w:rsidR="00000000" w:rsidRPr="00000000">
        <w:rPr>
          <w:i w:val="1"/>
          <w:iCs w:val="1"/>
          <w:sz w:val="22"/>
          <w:szCs w:val="22"/>
          <w:rtl w:val="0"/>
        </w:rPr>
        <w:t xml:space="preserve">Mean absolute error in machine learning: what you need to know</w:t>
      </w:r>
      <w:r w:rsidDel="00000000" w:rsidR="00000000" w:rsidRPr="00000000">
        <w:rPr>
          <w:sz w:val="22"/>
          <w:szCs w:val="22"/>
          <w:rtl w:val="0"/>
        </w:rPr>
        <w:t xml:space="preserve">. Arize AI. Available at:</w:t>
      </w:r>
      <w:hyperlink r:id="rId14">
        <w:r w:rsidDel="00000000" w:rsidR="00000000" w:rsidRPr="00000000">
          <w:rPr>
            <w:sz w:val="22"/>
            <w:szCs w:val="22"/>
            <w:rtl w:val="0"/>
          </w:rPr>
          <w:t xml:space="preserve"> </w:t>
        </w:r>
      </w:hyperlink>
      <w:hyperlink r:id="rId15">
        <w:r w:rsidDel="00000000" w:rsidR="00000000" w:rsidRPr="00000000">
          <w:rPr>
            <w:color w:val="1155cc"/>
            <w:sz w:val="22"/>
            <w:szCs w:val="22"/>
            <w:u w:val="single"/>
            <w:rtl w:val="0"/>
          </w:rPr>
          <w:t xml:space="preserve">https://arize.com/blog-course/mean-absolute-error-in-machine-learning-what-you-need-to-know/</w:t>
        </w:r>
      </w:hyperlink>
      <w:r w:rsidDel="00000000" w:rsidR="00000000" w:rsidRPr="00000000">
        <w:rPr>
          <w:sz w:val="22"/>
          <w:szCs w:val="22"/>
          <w:rtl w:val="0"/>
        </w:rPr>
        <w:t xml:space="preserve"> (Accessed: 17 December 2025).</w:t>
      </w:r>
    </w:p>
    <w:p w:rsidR="00000000" w:rsidDel="00000000" w:rsidP="00000000" w:rsidRDefault="00000000" w:rsidRPr="00000000" w14:paraId="000000CD">
      <w:pPr>
        <w:numPr>
          <w:ilvl w:val="0"/>
          <w:numId w:val="1"/>
        </w:numPr>
        <w:spacing w:after="240" w:before="240" w:lineRule="auto"/>
        <w:ind w:left="720" w:hanging="360"/>
        <w:rPr>
          <w:sz w:val="22"/>
          <w:szCs w:val="22"/>
        </w:rPr>
      </w:pPr>
      <w:r w:rsidDel="00000000" w:rsidR="00000000" w:rsidRPr="00000000">
        <w:rPr>
          <w:sz w:val="22"/>
          <w:szCs w:val="22"/>
          <w:rtl w:val="0"/>
        </w:rPr>
        <w:t xml:space="preserve">Hyndman, R.J. and Athanasopoulos, G. (2021) ‘Evaluating point forecast accuracy (Section 5.8)’, in </w:t>
      </w:r>
      <w:r w:rsidDel="00000000" w:rsidR="00000000" w:rsidRPr="00000000">
        <w:rPr>
          <w:i w:val="1"/>
          <w:iCs w:val="1"/>
          <w:sz w:val="22"/>
          <w:szCs w:val="22"/>
          <w:rtl w:val="0"/>
        </w:rPr>
        <w:t xml:space="preserve">Forecasting: Principles and Practice</w:t>
      </w:r>
      <w:r w:rsidDel="00000000" w:rsidR="00000000" w:rsidRPr="00000000">
        <w:rPr>
          <w:sz w:val="22"/>
          <w:szCs w:val="22"/>
          <w:rtl w:val="0"/>
        </w:rPr>
        <w:t xml:space="preserve">. 3rd edn. Melbourne: OTexts. Available at: </w:t>
      </w:r>
      <w:hyperlink r:id="rId16">
        <w:r w:rsidDel="00000000" w:rsidR="00000000" w:rsidRPr="00000000">
          <w:rPr>
            <w:color w:val="1155cc"/>
            <w:sz w:val="22"/>
            <w:szCs w:val="22"/>
            <w:u w:val="single"/>
            <w:rtl w:val="0"/>
          </w:rPr>
          <w:t xml:space="preserve">https://otexts.com/fpp3/accuracy.html</w:t>
        </w:r>
      </w:hyperlink>
      <w:r w:rsidDel="00000000" w:rsidR="00000000" w:rsidRPr="00000000">
        <w:rPr>
          <w:sz w:val="22"/>
          <w:szCs w:val="22"/>
          <w:rtl w:val="0"/>
        </w:rPr>
        <w:t xml:space="preserve"> (Accessed: 20 December 2025).</w:t>
      </w:r>
    </w:p>
    <w:p w:rsidR="00000000" w:rsidDel="00000000" w:rsidP="00000000" w:rsidRDefault="00000000" w:rsidRPr="00000000" w14:paraId="000000CE">
      <w:pPr>
        <w:numPr>
          <w:ilvl w:val="0"/>
          <w:numId w:val="1"/>
        </w:numPr>
        <w:spacing w:after="240" w:before="240" w:lineRule="auto"/>
        <w:ind w:left="720" w:hanging="360"/>
        <w:rPr>
          <w:sz w:val="22"/>
          <w:szCs w:val="22"/>
        </w:rPr>
      </w:pPr>
      <w:r w:rsidDel="00000000" w:rsidR="00000000" w:rsidRPr="00000000">
        <w:rPr>
          <w:sz w:val="22"/>
          <w:szCs w:val="22"/>
          <w:rtl w:val="0"/>
        </w:rPr>
        <w:t xml:space="preserve">Barocas, S., Guo, A., Kamar, E., Krones, J., Morris, M.R., Vaughan, J.W., Wadsworth, D. and Wallach, H. (2021) </w:t>
      </w:r>
      <w:r w:rsidDel="00000000" w:rsidR="00000000" w:rsidRPr="00000000">
        <w:rPr>
          <w:i w:val="1"/>
          <w:iCs w:val="1"/>
          <w:sz w:val="22"/>
          <w:szCs w:val="22"/>
          <w:rtl w:val="0"/>
        </w:rPr>
        <w:t xml:space="preserve">Designing disaggregated evaluations of AI systems: choices, considerations, and tradeoffs</w:t>
      </w:r>
      <w:r w:rsidDel="00000000" w:rsidR="00000000" w:rsidRPr="00000000">
        <w:rPr>
          <w:sz w:val="22"/>
          <w:szCs w:val="22"/>
          <w:rtl w:val="0"/>
        </w:rPr>
        <w:t xml:space="preserve">. arXiv. Available at:</w:t>
      </w:r>
      <w:hyperlink r:id="rId17">
        <w:r w:rsidDel="00000000" w:rsidR="00000000" w:rsidRPr="00000000">
          <w:rPr>
            <w:sz w:val="22"/>
            <w:szCs w:val="22"/>
            <w:rtl w:val="0"/>
          </w:rPr>
          <w:t xml:space="preserve"> </w:t>
        </w:r>
      </w:hyperlink>
      <w:hyperlink r:id="rId18">
        <w:r w:rsidDel="00000000" w:rsidR="00000000" w:rsidRPr="00000000">
          <w:rPr>
            <w:color w:val="1155cc"/>
            <w:sz w:val="22"/>
            <w:szCs w:val="22"/>
            <w:u w:val="single"/>
            <w:rtl w:val="0"/>
          </w:rPr>
          <w:t xml:space="preserve">https://arxiv.org/abs/2103.06076</w:t>
        </w:r>
      </w:hyperlink>
      <w:r w:rsidDel="00000000" w:rsidR="00000000" w:rsidRPr="00000000">
        <w:rPr>
          <w:sz w:val="22"/>
          <w:szCs w:val="22"/>
          <w:rtl w:val="0"/>
        </w:rPr>
        <w:t xml:space="preserve"> (Accessed: 19 December 2025).</w:t>
      </w:r>
    </w:p>
    <w:p w:rsidR="00000000" w:rsidDel="00000000" w:rsidP="00000000" w:rsidRDefault="00000000" w:rsidRPr="00000000" w14:paraId="000000CF">
      <w:pPr>
        <w:numPr>
          <w:ilvl w:val="0"/>
          <w:numId w:val="1"/>
        </w:numPr>
        <w:spacing w:after="240" w:before="240" w:lineRule="auto"/>
        <w:ind w:left="720" w:hanging="360"/>
        <w:rPr>
          <w:sz w:val="22"/>
          <w:szCs w:val="22"/>
        </w:rPr>
      </w:pPr>
      <w:r w:rsidDel="00000000" w:rsidR="00000000" w:rsidRPr="00000000">
        <w:rPr>
          <w:sz w:val="22"/>
          <w:szCs w:val="22"/>
          <w:rtl w:val="0"/>
        </w:rPr>
        <w:t xml:space="preserve">Bynum, L., Loftus, J.R. and Stoyanovich, J. (2021) </w:t>
      </w:r>
      <w:r w:rsidDel="00000000" w:rsidR="00000000" w:rsidRPr="00000000">
        <w:rPr>
          <w:i w:val="1"/>
          <w:iCs w:val="1"/>
          <w:sz w:val="22"/>
          <w:szCs w:val="22"/>
          <w:rtl w:val="0"/>
        </w:rPr>
        <w:t xml:space="preserve">Disaggregated interventions to reduce inequality</w:t>
      </w:r>
      <w:r w:rsidDel="00000000" w:rsidR="00000000" w:rsidRPr="00000000">
        <w:rPr>
          <w:sz w:val="22"/>
          <w:szCs w:val="22"/>
          <w:rtl w:val="0"/>
        </w:rPr>
        <w:t xml:space="preserve">. arXiv. doi:</w:t>
      </w:r>
      <w:hyperlink r:id="rId19">
        <w:r w:rsidDel="00000000" w:rsidR="00000000" w:rsidRPr="00000000">
          <w:rPr>
            <w:sz w:val="22"/>
            <w:szCs w:val="22"/>
            <w:rtl w:val="0"/>
          </w:rPr>
          <w:t xml:space="preserve"> </w:t>
        </w:r>
      </w:hyperlink>
      <w:hyperlink r:id="rId20">
        <w:r w:rsidDel="00000000" w:rsidR="00000000" w:rsidRPr="00000000">
          <w:rPr>
            <w:color w:val="1155cc"/>
            <w:sz w:val="22"/>
            <w:szCs w:val="22"/>
            <w:u w:val="single"/>
            <w:rtl w:val="0"/>
          </w:rPr>
          <w:t xml:space="preserve">https://doi.org/10.1145/3465416.3483286</w:t>
        </w:r>
      </w:hyperlink>
      <w:r w:rsidDel="00000000" w:rsidR="00000000" w:rsidRPr="00000000">
        <w:rPr>
          <w:sz w:val="22"/>
          <w:szCs w:val="22"/>
          <w:rtl w:val="0"/>
        </w:rPr>
        <w:t xml:space="preserve"> (Accessed: 19 December 2025).</w:t>
      </w:r>
    </w:p>
    <w:p w:rsidR="00000000" w:rsidDel="00000000" w:rsidP="00000000" w:rsidRDefault="00000000" w:rsidRPr="00000000" w14:paraId="000000D0">
      <w:pPr>
        <w:numPr>
          <w:ilvl w:val="0"/>
          <w:numId w:val="1"/>
        </w:numPr>
        <w:spacing w:after="240" w:before="240" w:lineRule="auto"/>
        <w:ind w:left="720" w:hanging="360"/>
        <w:rPr>
          <w:sz w:val="22"/>
          <w:szCs w:val="22"/>
        </w:rPr>
      </w:pPr>
      <w:r w:rsidDel="00000000" w:rsidR="00000000" w:rsidRPr="00000000">
        <w:rPr>
          <w:sz w:val="22"/>
          <w:szCs w:val="22"/>
          <w:rtl w:val="0"/>
        </w:rPr>
        <w:t xml:space="preserve">Ambler, W. (2024) </w:t>
      </w:r>
      <w:r w:rsidDel="00000000" w:rsidR="00000000" w:rsidRPr="00000000">
        <w:rPr>
          <w:i w:val="1"/>
          <w:iCs w:val="1"/>
          <w:sz w:val="22"/>
          <w:szCs w:val="22"/>
          <w:rtl w:val="0"/>
        </w:rPr>
        <w:t xml:space="preserve">How data analysis transforms F1 race performance</w:t>
      </w:r>
      <w:r w:rsidDel="00000000" w:rsidR="00000000" w:rsidRPr="00000000">
        <w:rPr>
          <w:sz w:val="22"/>
          <w:szCs w:val="22"/>
          <w:rtl w:val="0"/>
        </w:rPr>
        <w:t xml:space="preserve">. Catapult. Available at:</w:t>
      </w:r>
      <w:hyperlink r:id="rId21">
        <w:r w:rsidDel="00000000" w:rsidR="00000000" w:rsidRPr="00000000">
          <w:rPr>
            <w:sz w:val="22"/>
            <w:szCs w:val="22"/>
            <w:rtl w:val="0"/>
          </w:rPr>
          <w:t xml:space="preserve"> </w:t>
        </w:r>
      </w:hyperlink>
      <w:hyperlink r:id="rId22">
        <w:r w:rsidDel="00000000" w:rsidR="00000000" w:rsidRPr="00000000">
          <w:rPr>
            <w:color w:val="1155cc"/>
            <w:sz w:val="22"/>
            <w:szCs w:val="22"/>
            <w:u w:val="single"/>
            <w:rtl w:val="0"/>
          </w:rPr>
          <w:t xml:space="preserve">https://www.catapult.com/blog/f1-data-analysis-transforming-performance</w:t>
        </w:r>
      </w:hyperlink>
      <w:r w:rsidDel="00000000" w:rsidR="00000000" w:rsidRPr="00000000">
        <w:rPr>
          <w:sz w:val="22"/>
          <w:szCs w:val="22"/>
          <w:rtl w:val="0"/>
        </w:rPr>
        <w:t xml:space="preserve"> (Accessed: 19 December 2025).</w:t>
      </w:r>
    </w:p>
    <w:p w:rsidR="00000000" w:rsidDel="00000000" w:rsidP="00000000" w:rsidRDefault="00000000" w:rsidRPr="00000000" w14:paraId="000000D1">
      <w:pPr>
        <w:numPr>
          <w:ilvl w:val="0"/>
          <w:numId w:val="1"/>
        </w:numPr>
        <w:spacing w:after="240" w:before="240" w:lineRule="auto"/>
        <w:ind w:left="720" w:hanging="360"/>
        <w:rPr>
          <w:sz w:val="22"/>
          <w:szCs w:val="22"/>
        </w:rPr>
      </w:pPr>
      <w:r w:rsidDel="00000000" w:rsidR="00000000" w:rsidRPr="00000000">
        <w:rPr>
          <w:sz w:val="22"/>
          <w:szCs w:val="22"/>
          <w:rtl w:val="0"/>
        </w:rPr>
        <w:t xml:space="preserve">European Union (2025) </w:t>
      </w:r>
      <w:r w:rsidDel="00000000" w:rsidR="00000000" w:rsidRPr="00000000">
        <w:rPr>
          <w:i w:val="1"/>
          <w:iCs w:val="1"/>
          <w:sz w:val="22"/>
          <w:szCs w:val="22"/>
          <w:rtl w:val="0"/>
        </w:rPr>
        <w:t xml:space="preserve">The EU Artificial Intelligence Act</w:t>
      </w:r>
      <w:r w:rsidDel="00000000" w:rsidR="00000000" w:rsidRPr="00000000">
        <w:rPr>
          <w:sz w:val="22"/>
          <w:szCs w:val="22"/>
          <w:rtl w:val="0"/>
        </w:rPr>
        <w:t xml:space="preserve">. Available at:</w:t>
      </w:r>
      <w:hyperlink r:id="rId23">
        <w:r w:rsidDel="00000000" w:rsidR="00000000" w:rsidRPr="00000000">
          <w:rPr>
            <w:sz w:val="22"/>
            <w:szCs w:val="22"/>
            <w:rtl w:val="0"/>
          </w:rPr>
          <w:t xml:space="preserve"> </w:t>
        </w:r>
      </w:hyperlink>
      <w:hyperlink r:id="rId24">
        <w:r w:rsidDel="00000000" w:rsidR="00000000" w:rsidRPr="00000000">
          <w:rPr>
            <w:color w:val="1155cc"/>
            <w:sz w:val="22"/>
            <w:szCs w:val="22"/>
            <w:u w:val="single"/>
            <w:rtl w:val="0"/>
          </w:rPr>
          <w:t xml:space="preserve">https://artificialintelligenceact.eu/</w:t>
        </w:r>
      </w:hyperlink>
      <w:r w:rsidDel="00000000" w:rsidR="00000000" w:rsidRPr="00000000">
        <w:rPr>
          <w:sz w:val="22"/>
          <w:szCs w:val="22"/>
          <w:rtl w:val="0"/>
        </w:rPr>
        <w:t xml:space="preserve"> (Accessed: 29 December 2025).</w:t>
      </w:r>
    </w:p>
    <w:p w:rsidR="00000000" w:rsidDel="00000000" w:rsidP="00000000" w:rsidRDefault="00000000" w:rsidRPr="00000000" w14:paraId="000000D2">
      <w:pPr>
        <w:numPr>
          <w:ilvl w:val="0"/>
          <w:numId w:val="1"/>
        </w:numPr>
        <w:spacing w:after="240" w:before="240" w:lineRule="auto"/>
        <w:ind w:left="720" w:hanging="360"/>
        <w:rPr>
          <w:sz w:val="22"/>
          <w:szCs w:val="22"/>
        </w:rPr>
      </w:pPr>
      <w:r w:rsidDel="00000000" w:rsidR="00000000" w:rsidRPr="00000000">
        <w:rPr>
          <w:sz w:val="22"/>
          <w:szCs w:val="22"/>
          <w:rtl w:val="0"/>
        </w:rPr>
        <w:t xml:space="preserve">Logan, N. (2020) </w:t>
      </w:r>
      <w:r w:rsidDel="00000000" w:rsidR="00000000" w:rsidRPr="00000000">
        <w:rPr>
          <w:i w:val="1"/>
          <w:iCs w:val="1"/>
          <w:sz w:val="22"/>
          <w:szCs w:val="22"/>
          <w:rtl w:val="0"/>
        </w:rPr>
        <w:t xml:space="preserve">Why are there no British riders in MotoGP?</w:t>
      </w:r>
      <w:r w:rsidDel="00000000" w:rsidR="00000000" w:rsidRPr="00000000">
        <w:rPr>
          <w:sz w:val="22"/>
          <w:szCs w:val="22"/>
          <w:rtl w:val="0"/>
        </w:rPr>
        <w:t xml:space="preserve"> Blackcircles.com. Available at:</w:t>
      </w:r>
      <w:hyperlink r:id="rId25">
        <w:r w:rsidDel="00000000" w:rsidR="00000000" w:rsidRPr="00000000">
          <w:rPr>
            <w:sz w:val="22"/>
            <w:szCs w:val="22"/>
            <w:rtl w:val="0"/>
          </w:rPr>
          <w:t xml:space="preserve"> </w:t>
        </w:r>
      </w:hyperlink>
      <w:hyperlink r:id="rId26">
        <w:r w:rsidDel="00000000" w:rsidR="00000000" w:rsidRPr="00000000">
          <w:rPr>
            <w:color w:val="1155cc"/>
            <w:sz w:val="22"/>
            <w:szCs w:val="22"/>
            <w:u w:val="single"/>
            <w:rtl w:val="0"/>
          </w:rPr>
          <w:t xml:space="preserve">https://www.blackcircles.com/news/moto-gp-no-british-riders</w:t>
        </w:r>
      </w:hyperlink>
      <w:r w:rsidDel="00000000" w:rsidR="00000000" w:rsidRPr="00000000">
        <w:rPr>
          <w:sz w:val="22"/>
          <w:szCs w:val="22"/>
          <w:rtl w:val="0"/>
        </w:rPr>
        <w:t xml:space="preserve"> (Accessed: 29 December 2025).</w:t>
      </w:r>
    </w:p>
    <w:p w:rsidR="00000000" w:rsidDel="00000000" w:rsidP="00000000" w:rsidRDefault="00000000" w:rsidRPr="00000000" w14:paraId="000000D3">
      <w:pPr>
        <w:numPr>
          <w:ilvl w:val="0"/>
          <w:numId w:val="1"/>
        </w:numPr>
        <w:spacing w:after="240" w:before="240" w:lineRule="auto"/>
        <w:ind w:left="720" w:hanging="360"/>
        <w:rPr>
          <w:sz w:val="22"/>
          <w:szCs w:val="22"/>
        </w:rPr>
      </w:pPr>
      <w:r w:rsidDel="00000000" w:rsidR="00000000" w:rsidRPr="00000000">
        <w:rPr>
          <w:sz w:val="22"/>
          <w:szCs w:val="22"/>
          <w:rtl w:val="0"/>
        </w:rPr>
        <w:t xml:space="preserve">Gray, A. (2024) </w:t>
      </w:r>
      <w:r w:rsidDel="00000000" w:rsidR="00000000" w:rsidRPr="00000000">
        <w:rPr>
          <w:i w:val="1"/>
          <w:iCs w:val="1"/>
          <w:sz w:val="22"/>
          <w:szCs w:val="22"/>
          <w:rtl w:val="0"/>
        </w:rPr>
        <w:t xml:space="preserve">World Rally Championship: Rally Ireland bid falls through over funding</w:t>
      </w:r>
      <w:r w:rsidDel="00000000" w:rsidR="00000000" w:rsidRPr="00000000">
        <w:rPr>
          <w:sz w:val="22"/>
          <w:szCs w:val="22"/>
          <w:rtl w:val="0"/>
        </w:rPr>
        <w:t xml:space="preserve">. BBC Sport, 16 April. Available at:</w:t>
      </w:r>
      <w:hyperlink r:id="rId27">
        <w:r w:rsidDel="00000000" w:rsidR="00000000" w:rsidRPr="00000000">
          <w:rPr>
            <w:sz w:val="22"/>
            <w:szCs w:val="22"/>
            <w:rtl w:val="0"/>
          </w:rPr>
          <w:t xml:space="preserve"> </w:t>
        </w:r>
      </w:hyperlink>
      <w:hyperlink r:id="rId28">
        <w:r w:rsidDel="00000000" w:rsidR="00000000" w:rsidRPr="00000000">
          <w:rPr>
            <w:color w:val="1155cc"/>
            <w:sz w:val="22"/>
            <w:szCs w:val="22"/>
            <w:u w:val="single"/>
            <w:rtl w:val="0"/>
          </w:rPr>
          <w:t xml:space="preserve">https://www.bbc.co.uk/sport/motorsport/68828597</w:t>
        </w:r>
      </w:hyperlink>
      <w:r w:rsidDel="00000000" w:rsidR="00000000" w:rsidRPr="00000000">
        <w:rPr>
          <w:sz w:val="22"/>
          <w:szCs w:val="22"/>
          <w:rtl w:val="0"/>
        </w:rPr>
        <w:t xml:space="preserve"> (Accessed: 29 December 2025).</w:t>
      </w:r>
    </w:p>
    <w:p w:rsidR="00000000" w:rsidDel="00000000" w:rsidP="00000000" w:rsidRDefault="00000000" w:rsidRPr="00000000" w14:paraId="000000D4">
      <w:pPr>
        <w:ind w:left="0" w:firstLine="0"/>
        <w:rPr>
          <w:sz w:val="22"/>
          <w:szCs w:val="22"/>
        </w:rPr>
      </w:pPr>
      <w:r w:rsidDel="00000000" w:rsidR="00000000" w:rsidRPr="00000000">
        <w:rPr>
          <w:rtl w:val="0"/>
        </w:rPr>
      </w:r>
    </w:p>
    <w:p w:rsidR="00000000" w:rsidDel="00000000" w:rsidP="00000000" w:rsidRDefault="00000000" w:rsidRPr="00000000" w14:paraId="000000D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D6">
      <w:pPr>
        <w:rPr>
          <w:sz w:val="20"/>
          <w:szCs w:val="20"/>
        </w:rPr>
      </w:pPr>
      <w:r w:rsidDel="00000000" w:rsidR="00000000" w:rsidRPr="00000000">
        <w:rPr>
          <w:rtl w:val="0"/>
        </w:rPr>
      </w:r>
    </w:p>
    <w:sectPr>
      <w:headerReference r:id="rId2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Cambria Math">
    <w:embedRegular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rPr/>
    </w:pPr>
    <w:r w:rsidDel="00000000" w:rsidR="00000000" w:rsidRPr="00000000">
      <w:rPr/>
      <w:pict>
        <v:shape id="PowerPlusWaterMarkObject1" style="position:absolute;width:527.8666922580953pt;height:110.33336826731289pt;rotation:315;z-index:-503316481;mso-position-horizontal-relative:margin;mso-position-horizontal:center;mso-position-vertical-relative:margin;mso-position-vertical:center;" fillcolor="#e8eaed" stroked="f" type="#_x0000_t136">
          <v:fill angle="0" opacity="65536f"/>
          <v:textpath fitshape="t" string="Femetronics"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000000"/>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normaltextrun" w:customStyle="1">
    <w:name w:val="normaltextrun"/>
    <w:basedOn w:val="DefaultParagraphFont"/>
    <w:rsid w:val="003A25AC"/>
  </w:style>
  <w:style w:type="character" w:styleId="eop" w:customStyle="1">
    <w:name w:val="eop"/>
    <w:basedOn w:val="DefaultParagraphFont"/>
    <w:rsid w:val="003A25AC"/>
  </w:style>
  <w:style w:type="paragraph" w:styleId="ListParagraph">
    <w:name w:val="List Paragraph"/>
    <w:basedOn w:val="Normal"/>
    <w:uiPriority w:val="34"/>
    <w:qFormat w:val="1"/>
    <w:rsid w:val="003A25AC"/>
    <w:pPr>
      <w:ind w:left="720"/>
      <w:contextualSpacing w:val="1"/>
    </w:pPr>
  </w:style>
  <w:style w:type="character" w:styleId="katex-mathml" w:customStyle="1">
    <w:name w:val="katex-mathml"/>
    <w:basedOn w:val="DefaultParagraphFont"/>
    <w:rsid w:val="002146EC"/>
  </w:style>
  <w:style w:type="character" w:styleId="mord" w:customStyle="1">
    <w:name w:val="mord"/>
    <w:basedOn w:val="DefaultParagraphFont"/>
    <w:rsid w:val="002146EC"/>
  </w:style>
  <w:style w:type="character" w:styleId="vlist-s" w:customStyle="1">
    <w:name w:val="vlist-s"/>
    <w:basedOn w:val="DefaultParagraphFont"/>
    <w:rsid w:val="002146EC"/>
  </w:style>
  <w:style w:type="character" w:styleId="PlaceholderText">
    <w:name w:val="Placeholder Text"/>
    <w:basedOn w:val="DefaultParagraphFont"/>
    <w:uiPriority w:val="99"/>
    <w:semiHidden w:val="1"/>
    <w:rsid w:val="002146EC"/>
    <w:rPr>
      <w:color w:val="808080"/>
    </w:rPr>
  </w:style>
  <w:style w:type="character" w:styleId="mrel" w:customStyle="1">
    <w:name w:val="mrel"/>
    <w:basedOn w:val="DefaultParagraphFont"/>
    <w:rsid w:val="00CF12A2"/>
  </w:style>
  <w:style w:type="character" w:styleId="mop" w:customStyle="1">
    <w:name w:val="mop"/>
    <w:basedOn w:val="DefaultParagraphFont"/>
    <w:rsid w:val="00CF12A2"/>
  </w:style>
  <w:style w:type="character" w:styleId="mbin" w:customStyle="1">
    <w:name w:val="mbin"/>
    <w:basedOn w:val="DefaultParagraphFont"/>
    <w:rsid w:val="00CF12A2"/>
  </w:style>
  <w:style w:type="paragraph" w:styleId="paragraph" w:customStyle="1">
    <w:name w:val="paragraph"/>
    <w:basedOn w:val="Normal"/>
    <w:rsid w:val="00046464"/>
    <w:pPr>
      <w:spacing w:after="100" w:afterAutospacing="1" w:before="100" w:beforeAutospacing="1"/>
    </w:pPr>
    <w:rPr>
      <w:rFonts w:ascii="Times New Roman" w:cs="Times New Roman" w:eastAsia="Times New Roman" w:hAnsi="Times New Roman"/>
      <w:kern w:val="0"/>
      <w:lang w:eastAsia="en-GB"/>
    </w:rPr>
  </w:style>
  <w:style w:type="table" w:styleId="GridTable1Light-Accent6">
    <w:name w:val="Grid Table 1 Light Accent 6"/>
    <w:basedOn w:val="TableNormal"/>
    <w:uiPriority w:val="46"/>
    <w:rsid w:val="00046464"/>
    <w:tblPr>
      <w:tblStyleRowBandSize w:val="1"/>
      <w:tblStyleColBandSize w:val="1"/>
      <w:tblBorders>
        <w:top w:color="c5e0b3" w:space="0" w:sz="4" w:themeColor="accent6" w:themeTint="000066" w:val="single"/>
        <w:left w:color="c5e0b3" w:space="0" w:sz="4" w:themeColor="accent6" w:themeTint="000066" w:val="single"/>
        <w:bottom w:color="c5e0b3" w:space="0" w:sz="4" w:themeColor="accent6" w:themeTint="000066" w:val="single"/>
        <w:right w:color="c5e0b3" w:space="0" w:sz="4" w:themeColor="accent6" w:themeTint="000066" w:val="single"/>
        <w:insideH w:color="c5e0b3" w:space="0" w:sz="4" w:themeColor="accent6" w:themeTint="000066" w:val="single"/>
        <w:insideV w:color="c5e0b3" w:space="0" w:sz="4" w:themeColor="accent6" w:themeTint="000066"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2" w:themeColor="accent6"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046464"/>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046464"/>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TableGrid">
    <w:name w:val="Table Grid"/>
    <w:basedOn w:val="TableNormal"/>
    <w:uiPriority w:val="39"/>
    <w:rsid w:val="0004646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Light">
    <w:name w:val="Grid Table Light"/>
    <w:basedOn w:val="TableNormal"/>
    <w:uiPriority w:val="40"/>
    <w:rsid w:val="00046464"/>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PlainTable1">
    <w:name w:val="Plain Table 1"/>
    <w:basedOn w:val="TableNormal"/>
    <w:uiPriority w:val="41"/>
    <w:rsid w:val="00046464"/>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8E1576"/>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8E1576"/>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8E1576"/>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8E1576"/>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
    <w:name w:val="Grid Table 1 Light"/>
    <w:basedOn w:val="TableNormal"/>
    <w:uiPriority w:val="46"/>
    <w:rsid w:val="008E1576"/>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character" w:styleId="Strong">
    <w:name w:val="Strong"/>
    <w:basedOn w:val="DefaultParagraphFont"/>
    <w:uiPriority w:val="22"/>
    <w:qFormat w:val="1"/>
    <w:rsid w:val="00740226"/>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2">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 w:type="table" w:styleId="Table3">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cPr>
        <w:tcBorders>
          <w:top w:color="bfbfbf" w:space="0" w:sz="4" w:val="single"/>
        </w:tcBorders>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145/3465416.3483286" TargetMode="External"/><Relationship Id="rId22" Type="http://schemas.openxmlformats.org/officeDocument/2006/relationships/hyperlink" Target="https://www.catapult.com/blog/f1-data-analysis-transforming-performance" TargetMode="External"/><Relationship Id="rId21" Type="http://schemas.openxmlformats.org/officeDocument/2006/relationships/hyperlink" Target="https://www.catapult.com/blog/f1-data-analysis-transforming-performance" TargetMode="External"/><Relationship Id="rId24" Type="http://schemas.openxmlformats.org/officeDocument/2006/relationships/hyperlink" Target="https://artificialintelligenceact.eu/" TargetMode="External"/><Relationship Id="rId23" Type="http://schemas.openxmlformats.org/officeDocument/2006/relationships/hyperlink" Target="https://artificialintelligenceact.e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s://www.blackcircles.com/news/moto-gp-no-british-riders" TargetMode="External"/><Relationship Id="rId25" Type="http://schemas.openxmlformats.org/officeDocument/2006/relationships/hyperlink" Target="https://www.blackcircles.com/news/moto-gp-no-british-riders" TargetMode="External"/><Relationship Id="rId28" Type="http://schemas.openxmlformats.org/officeDocument/2006/relationships/hyperlink" Target="https://www.bbc.co.uk/sport/motorsport/68828597" TargetMode="External"/><Relationship Id="rId27" Type="http://schemas.openxmlformats.org/officeDocument/2006/relationships/hyperlink" Target="https://www.bbc.co.uk/sport/motorsport/68828597"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1.png"/><Relationship Id="rId8" Type="http://schemas.openxmlformats.org/officeDocument/2006/relationships/image" Target="media/image3.png"/><Relationship Id="rId11" Type="http://schemas.openxmlformats.org/officeDocument/2006/relationships/hyperlink" Target="https://www.gotothegrid.com/en/blog/the-truth-behind-f1s-budget-cap" TargetMode="External"/><Relationship Id="rId10" Type="http://schemas.openxmlformats.org/officeDocument/2006/relationships/hyperlink" Target="https://www.gotothegrid.com/en/blog/the-truth-behind-f1s-budget-cap" TargetMode="External"/><Relationship Id="rId13" Type="http://schemas.openxmlformats.org/officeDocument/2006/relationships/hyperlink" Target="https://www.sciencedirect.com/topics/engineering/mean-absolute-error" TargetMode="External"/><Relationship Id="rId12" Type="http://schemas.openxmlformats.org/officeDocument/2006/relationships/hyperlink" Target="https://www.sciencedirect.com/topics/engineering/mean-absolute-error" TargetMode="External"/><Relationship Id="rId15" Type="http://schemas.openxmlformats.org/officeDocument/2006/relationships/hyperlink" Target="https://arize.com/blog-course/mean-absolute-error-in-machine-learning-what-you-need-to-know/" TargetMode="External"/><Relationship Id="rId14" Type="http://schemas.openxmlformats.org/officeDocument/2006/relationships/hyperlink" Target="https://arize.com/blog-course/mean-absolute-error-in-machine-learning-what-you-need-to-know/" TargetMode="External"/><Relationship Id="rId17" Type="http://schemas.openxmlformats.org/officeDocument/2006/relationships/hyperlink" Target="https://arxiv.org/abs/2103.06076" TargetMode="External"/><Relationship Id="rId16" Type="http://schemas.openxmlformats.org/officeDocument/2006/relationships/hyperlink" Target="https://otexts.com/fpp3/accuracy.html" TargetMode="External"/><Relationship Id="rId19" Type="http://schemas.openxmlformats.org/officeDocument/2006/relationships/hyperlink" Target="https://doi.org/10.1145/3465416.3483286" TargetMode="External"/><Relationship Id="rId18" Type="http://schemas.openxmlformats.org/officeDocument/2006/relationships/hyperlink" Target="https://arxiv.org/abs/2103.0607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7YMjIjhLpPWd41cQwr+SgquwUA==">CgMxLjA4AGoeChRzdWdnZXN0LnZlcWtxYWJ0a3NrYhIGTmVoYSBHah4KFHN1Z2dlc3QueHo3Z3Zya3p3NzVxEgZOZWhhIEdqHgoUc3VnZ2VzdC40Z25lbjNqbTJsNm4SBk5laGEgR2oeChRzdWdnZXN0LmRlZXFmNGtzaG1oeBIGTmVoYSBHciExVFRoUkFfNmRIcEdIY3dsOGtXdHc3NFE4MFNFdVJTc2k=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2026-01-01T18:23:00Z</dcterms:created>
  <dc:creator>Neha Gurnani [sc23ng2]</dc:creator>
</cp:coreProperties>
</file>